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mc:AlternateContent>
          <mc:Choice Requires="wps">
            <w:drawing>
              <wp:anchor distT="0" distB="0" distL="114300" distR="114300" simplePos="0" relativeHeight="251660288"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6192;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h0EmN0AAAAAMBAAAPAAAAAAAAAAEAIAAAACIAAABkcnMv&#10;ZG93bnJldi54bWxQSwECFAAUAAAACACHTuJA8olxHdIBAACkAwAADgAAAAAAAAABACAAAAAfAQAA&#10;ZHJzL2Uyb0RvYy54bWxQSwUGAAAAAAYABgBZAQAAYwU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hint="eastAsia" w:ascii="仿宋" w:hAnsi="仿宋" w:eastAsia="仿宋" w:cs="宋体"/>
          <w:b/>
          <w:bCs/>
          <w:kern w:val="1"/>
          <w:sz w:val="44"/>
          <w:szCs w:val="44"/>
          <w:highlight w:val="none"/>
          <w:u w:val="single"/>
          <w:lang w:eastAsia="zh-CN"/>
        </w:rPr>
      </w:pPr>
      <w:r>
        <w:rPr>
          <w:rFonts w:hint="eastAsia" w:ascii="仿宋" w:hAnsi="仿宋" w:eastAsia="仿宋" w:cs="宋体"/>
          <w:b/>
          <w:bCs/>
          <w:kern w:val="1"/>
          <w:sz w:val="44"/>
          <w:szCs w:val="44"/>
          <w:highlight w:val="none"/>
          <w:u w:val="single"/>
        </w:rPr>
        <w:t>铜陵铜冠建安</w:t>
      </w:r>
      <w:r>
        <w:rPr>
          <w:rFonts w:hint="eastAsia" w:ascii="仿宋" w:hAnsi="仿宋" w:eastAsia="仿宋" w:cs="宋体"/>
          <w:b/>
          <w:bCs/>
          <w:kern w:val="1"/>
          <w:sz w:val="44"/>
          <w:szCs w:val="44"/>
          <w:highlight w:val="none"/>
          <w:u w:val="single"/>
          <w:lang w:eastAsia="zh-CN"/>
        </w:rPr>
        <w:t>公司</w:t>
      </w:r>
    </w:p>
    <w:p>
      <w:pPr>
        <w:spacing w:line="560" w:lineRule="exact"/>
        <w:jc w:val="center"/>
        <w:rPr>
          <w:rFonts w:hint="eastAsia" w:ascii="仿宋" w:hAnsi="仿宋" w:eastAsia="仿宋" w:cs="宋体"/>
          <w:b/>
          <w:bCs/>
          <w:kern w:val="1"/>
          <w:sz w:val="44"/>
          <w:szCs w:val="44"/>
          <w:highlight w:val="none"/>
          <w:u w:val="single"/>
          <w:lang w:val="en-US" w:eastAsia="zh-CN"/>
        </w:rPr>
      </w:pPr>
      <w:r>
        <w:rPr>
          <w:rFonts w:hint="eastAsia" w:ascii="仿宋" w:hAnsi="仿宋" w:eastAsia="仿宋" w:cs="宋体"/>
          <w:b/>
          <w:bCs/>
          <w:kern w:val="1"/>
          <w:sz w:val="44"/>
          <w:szCs w:val="44"/>
          <w:highlight w:val="none"/>
          <w:u w:val="single"/>
          <w:lang w:eastAsia="zh-CN"/>
        </w:rPr>
        <w:t>第二事业部海亮项目</w:t>
      </w:r>
      <w:r>
        <w:rPr>
          <w:rFonts w:hint="eastAsia" w:ascii="仿宋" w:hAnsi="仿宋" w:eastAsia="仿宋" w:cs="宋体"/>
          <w:b/>
          <w:bCs/>
          <w:kern w:val="1"/>
          <w:sz w:val="44"/>
          <w:szCs w:val="44"/>
          <w:highlight w:val="none"/>
          <w:u w:val="single"/>
          <w:lang w:val="en-US" w:eastAsia="zh-CN"/>
        </w:rPr>
        <w:t>PVC管</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w:t>
      </w:r>
      <w:r>
        <w:rPr>
          <w:rFonts w:hint="eastAsia" w:ascii="仿宋" w:hAnsi="仿宋" w:eastAsia="仿宋" w:cs="仿宋_GB2312"/>
          <w:b/>
          <w:bCs/>
          <w:sz w:val="32"/>
          <w:szCs w:val="32"/>
          <w:highlight w:val="none"/>
          <w:u w:val="single"/>
          <w:lang w:val="en-US" w:eastAsia="zh-CN"/>
        </w:rPr>
        <w:t>-</w:t>
      </w:r>
      <w:bookmarkStart w:id="0" w:name="_GoBack"/>
      <w:bookmarkEnd w:id="0"/>
      <w:r>
        <w:rPr>
          <w:rFonts w:hint="eastAsia" w:ascii="仿宋" w:hAnsi="仿宋" w:eastAsia="仿宋" w:cs="仿宋_GB2312"/>
          <w:b/>
          <w:bCs/>
          <w:sz w:val="32"/>
          <w:szCs w:val="32"/>
          <w:highlight w:val="none"/>
          <w:u w:val="single"/>
          <w:lang w:val="en-US" w:eastAsia="zh-CN"/>
        </w:rPr>
        <w:t>91</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w:t>
      </w:r>
      <w:r>
        <w:rPr>
          <w:rFonts w:hint="eastAsia" w:ascii="仿宋" w:hAnsi="仿宋" w:eastAsia="仿宋" w:cs="仿宋_GB2312"/>
          <w:b/>
          <w:sz w:val="24"/>
          <w:highlight w:val="none"/>
          <w:lang w:eastAsia="zh-CN"/>
        </w:rPr>
        <w:t>竞价</w:t>
      </w:r>
      <w:r>
        <w:rPr>
          <w:rFonts w:hint="eastAsia" w:ascii="仿宋" w:hAnsi="仿宋" w:eastAsia="仿宋" w:cs="仿宋_GB2312"/>
          <w:b/>
          <w:sz w:val="24"/>
          <w:highlight w:val="none"/>
        </w:rPr>
        <w:t>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w:t>
      </w:r>
      <w:r>
        <w:rPr>
          <w:rFonts w:hint="eastAsia" w:ascii="仿宋" w:hAnsi="仿宋" w:eastAsia="仿宋" w:cs="仿宋_GB2312"/>
          <w:bCs/>
          <w:sz w:val="24"/>
          <w:highlight w:val="none"/>
          <w:lang w:eastAsia="zh-CN"/>
        </w:rPr>
        <w:t>竞价</w:t>
      </w:r>
      <w:r>
        <w:rPr>
          <w:rFonts w:hint="eastAsia" w:ascii="仿宋" w:hAnsi="仿宋" w:eastAsia="仿宋" w:cs="仿宋_GB2312"/>
          <w:bCs/>
          <w:sz w:val="24"/>
          <w:highlight w:val="none"/>
        </w:rPr>
        <w:t>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w:t>
      </w:r>
      <w:r>
        <w:rPr>
          <w:rFonts w:hint="eastAsia" w:ascii="仿宋" w:hAnsi="仿宋" w:eastAsia="仿宋" w:cs="仿宋_GB2312"/>
          <w:sz w:val="24"/>
          <w:highlight w:val="none"/>
          <w:lang w:eastAsia="zh-CN"/>
        </w:rPr>
        <w:t>或小规模纳税人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w:t>
      </w:r>
      <w:r>
        <w:rPr>
          <w:rFonts w:hint="eastAsia" w:ascii="仿宋" w:hAnsi="仿宋" w:eastAsia="仿宋" w:cs="仿宋_GB2312"/>
          <w:sz w:val="24"/>
          <w:highlight w:val="none"/>
          <w:u w:val="single"/>
        </w:rPr>
        <w:t>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lang w:eastAsia="zh-CN"/>
        </w:rPr>
        <w:t>贰万</w:t>
      </w:r>
      <w:r>
        <w:rPr>
          <w:rFonts w:hint="eastAsia" w:ascii="仿宋" w:hAnsi="仿宋" w:eastAsia="仿宋" w:cs="仿宋_GB2312"/>
          <w:b/>
          <w:bCs/>
          <w:color w:val="000000"/>
          <w:sz w:val="24"/>
          <w:highlight w:val="none"/>
          <w:u w:val="single"/>
        </w:rPr>
        <w:t>元整</w:t>
      </w:r>
      <w:r>
        <w:rPr>
          <w:rFonts w:hint="eastAsia" w:ascii="仿宋" w:hAnsi="仿宋" w:eastAsia="仿宋" w:cs="仿宋_GB2312"/>
          <w:b/>
          <w:bCs/>
          <w:color w:val="000000"/>
          <w:sz w:val="24"/>
          <w:highlight w:val="none"/>
          <w:u w:val="single"/>
          <w:lang w:eastAsia="zh-CN"/>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w:t>
      </w:r>
      <w:r>
        <w:rPr>
          <w:rFonts w:hint="eastAsia" w:ascii="仿宋" w:hAnsi="仿宋" w:eastAsia="仿宋" w:cs="仿宋_GB2312"/>
          <w:b/>
          <w:bCs/>
          <w:sz w:val="24"/>
          <w:highlight w:val="none"/>
          <w:u w:val="single"/>
          <w:lang w:eastAsia="zh-CN"/>
        </w:rPr>
        <w:t>公司第二事业部海亮项目</w:t>
      </w:r>
      <w:r>
        <w:rPr>
          <w:rFonts w:hint="eastAsia" w:ascii="仿宋" w:hAnsi="仿宋" w:eastAsia="仿宋" w:cs="仿宋_GB2312"/>
          <w:b/>
          <w:bCs/>
          <w:sz w:val="24"/>
          <w:highlight w:val="none"/>
          <w:u w:val="single"/>
          <w:lang w:val="en-US" w:eastAsia="zh-CN"/>
        </w:rPr>
        <w:t>PVC管</w:t>
      </w:r>
      <w:r>
        <w:rPr>
          <w:rFonts w:hint="eastAsia" w:ascii="仿宋" w:hAnsi="仿宋" w:eastAsia="仿宋" w:cs="仿宋"/>
          <w:b/>
          <w:bCs/>
          <w:sz w:val="24"/>
          <w:highlight w:val="none"/>
          <w:u w:val="single"/>
        </w:rPr>
        <w:t>TG</w:t>
      </w:r>
      <w:r>
        <w:rPr>
          <w:rFonts w:hint="eastAsia" w:ascii="仿宋" w:hAnsi="仿宋" w:eastAsia="仿宋" w:cs="仿宋_GB2312"/>
          <w:b/>
          <w:bCs/>
          <w:sz w:val="24"/>
          <w:highlight w:val="none"/>
          <w:u w:val="single"/>
        </w:rPr>
        <w:t>JA-WZ-2024</w:t>
      </w:r>
      <w:r>
        <w:rPr>
          <w:rFonts w:hint="eastAsia" w:ascii="仿宋" w:hAnsi="仿宋" w:eastAsia="仿宋" w:cs="仿宋_GB2312"/>
          <w:b/>
          <w:bCs/>
          <w:sz w:val="24"/>
          <w:highlight w:val="none"/>
          <w:u w:val="single"/>
          <w:lang w:val="en-US" w:eastAsia="zh-CN"/>
        </w:rPr>
        <w:t>91</w:t>
      </w:r>
      <w:r>
        <w:rPr>
          <w:rFonts w:hint="eastAsia" w:ascii="仿宋" w:hAnsi="仿宋" w:eastAsia="仿宋" w:cs="仿宋_GB2312"/>
          <w:b/>
          <w:bCs/>
          <w:sz w:val="24"/>
          <w:highlight w:val="none"/>
          <w:u w:val="single"/>
        </w:rPr>
        <w:t>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7</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hint="eastAsia" w:ascii="仿宋" w:hAnsi="仿宋" w:eastAsia="仿宋" w:cs="仿宋"/>
          <w:sz w:val="24"/>
          <w:szCs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w:t>
      </w:r>
      <w:r>
        <w:rPr>
          <w:rFonts w:hint="eastAsia" w:ascii="仿宋" w:hAnsi="仿宋" w:eastAsia="仿宋" w:cs="仿宋"/>
          <w:sz w:val="24"/>
          <w:szCs w:val="24"/>
          <w:highlight w:val="none"/>
        </w:rPr>
        <w:t>料质量要求</w:t>
      </w:r>
      <w:r>
        <w:rPr>
          <w:rFonts w:hint="eastAsia" w:ascii="仿宋" w:hAnsi="仿宋" w:eastAsia="仿宋" w:cs="仿宋"/>
          <w:sz w:val="24"/>
          <w:szCs w:val="24"/>
          <w:highlight w:val="none"/>
          <w:lang w:eastAsia="zh-CN"/>
        </w:rPr>
        <w:t>：</w:t>
      </w:r>
      <w:r>
        <w:rPr>
          <w:rFonts w:hint="eastAsia" w:ascii="仿宋" w:hAnsi="仿宋" w:eastAsia="仿宋" w:cs="仿宋"/>
          <w:color w:val="333333"/>
          <w:sz w:val="24"/>
          <w:szCs w:val="24"/>
          <w:shd w:val="clear" w:color="auto" w:fill="FFFFFF"/>
          <w:lang w:eastAsia="zh-CN"/>
        </w:rPr>
        <w:t>符合国家最新标准和招标文件要求</w:t>
      </w:r>
      <w:r>
        <w:rPr>
          <w:rFonts w:hint="eastAsia" w:ascii="仿宋" w:hAnsi="仿宋" w:eastAsia="仿宋" w:cs="仿宋"/>
          <w:color w:val="333333"/>
          <w:sz w:val="24"/>
          <w:szCs w:val="24"/>
          <w:shd w:val="clear" w:color="auto" w:fill="FFFFFF"/>
        </w:rPr>
        <w:t>。</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
          <w:sz w:val="24"/>
          <w:szCs w:val="24"/>
          <w:highlight w:val="none"/>
        </w:rPr>
        <w:t>（2）投标人如若中标</w:t>
      </w:r>
      <w:r>
        <w:rPr>
          <w:rFonts w:hint="eastAsia" w:ascii="仿宋" w:hAnsi="仿宋" w:eastAsia="仿宋" w:cs="仿宋_GB2312"/>
          <w:sz w:val="24"/>
          <w:highlight w:val="none"/>
        </w:rPr>
        <w:t>，提供的材料必须符合技术指标要求。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w:t>
      </w:r>
      <w:r>
        <w:rPr>
          <w:rFonts w:hint="eastAsia" w:ascii="仿宋" w:hAnsi="仿宋" w:eastAsia="仿宋" w:cs="仿宋_GB2312"/>
          <w:sz w:val="24"/>
          <w:highlight w:val="none"/>
          <w:lang w:eastAsia="zh-CN"/>
        </w:rPr>
        <w:t>第二事业部海亮项目现场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1</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本次招标价为含税含运费一票制价格。</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2</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一经中标，合同期内价格不予调整。</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（1）以招标人现场签字验收的收货单数量为准，</w:t>
      </w:r>
    </w:p>
    <w:p>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_GB2312"/>
          <w:sz w:val="24"/>
          <w:highlight w:val="none"/>
        </w:rPr>
        <w:t>（2）涉及过磅材料，招标人有抽磅的权利，如抽磅数量与送货单数量负误差超过千分之三，以招标人抽磅数量结算且扣除该车50%货款，如发生三次以上，招标人有权解除合同。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hint="eastAsia" w:ascii="仿宋" w:hAnsi="仿宋" w:eastAsia="仿宋" w:cs="仿宋"/>
          <w:spacing w:val="-17"/>
          <w:sz w:val="24"/>
          <w:szCs w:val="24"/>
          <w:highlight w:val="none"/>
        </w:rPr>
      </w:pPr>
      <w:r>
        <w:rPr>
          <w:rFonts w:hint="eastAsia" w:ascii="仿宋" w:hAnsi="仿宋" w:eastAsia="仿宋" w:cs="仿宋_GB2312"/>
          <w:sz w:val="24"/>
          <w:highlight w:val="none"/>
          <w:u w:val="single"/>
        </w:rPr>
        <w:t>各</w:t>
      </w:r>
      <w:r>
        <w:rPr>
          <w:rFonts w:hint="eastAsia" w:ascii="仿宋" w:hAnsi="仿宋" w:eastAsia="仿宋" w:cs="仿宋"/>
          <w:sz w:val="24"/>
          <w:szCs w:val="24"/>
          <w:highlight w:val="none"/>
          <w:u w:val="single"/>
        </w:rPr>
        <w:t>投标单位报价须谨慎，一旦中标不得以任何理由变更报价</w:t>
      </w:r>
      <w:r>
        <w:rPr>
          <w:rFonts w:hint="eastAsia" w:ascii="仿宋" w:hAnsi="仿宋" w:eastAsia="仿宋" w:cs="仿宋"/>
          <w:spacing w:val="-17"/>
          <w:sz w:val="24"/>
          <w:szCs w:val="24"/>
          <w:highlight w:val="none"/>
          <w:u w:val="single"/>
        </w:rPr>
        <w:t>。</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z w:val="24"/>
          <w:szCs w:val="24"/>
        </w:rPr>
        <w:t>合同签订和付款方式</w:t>
      </w:r>
    </w:p>
    <w:p>
      <w:pPr>
        <w:spacing w:line="360" w:lineRule="auto"/>
        <w:ind w:firstLine="480" w:firstLineChars="200"/>
        <w:rPr>
          <w:rFonts w:hint="eastAsia" w:ascii="仿宋" w:hAnsi="仿宋" w:eastAsia="仿宋" w:cs="仿宋"/>
          <w:b/>
          <w:sz w:val="24"/>
          <w:szCs w:val="24"/>
          <w:highlight w:val="none"/>
          <w:u w:val="single"/>
          <w:lang w:eastAsia="zh-CN"/>
        </w:rPr>
      </w:pPr>
      <w:r>
        <w:rPr>
          <w:rFonts w:hint="eastAsia" w:ascii="仿宋" w:hAnsi="仿宋" w:eastAsia="仿宋" w:cs="仿宋_GB2312"/>
          <w:color w:val="000000" w:themeColor="text1"/>
          <w:sz w:val="24"/>
          <w:highlight w:val="none"/>
          <w:u w:val="single"/>
          <w14:textFill>
            <w14:solidFill>
              <w14:schemeClr w14:val="tx1"/>
            </w14:solidFill>
          </w14:textFill>
        </w:rPr>
        <w:t>合同签订后，</w:t>
      </w:r>
      <w:r>
        <w:rPr>
          <w:rFonts w:hint="eastAsia" w:ascii="仿宋" w:hAnsi="仿宋" w:eastAsia="仿宋" w:cs="仿宋"/>
          <w:color w:val="000000" w:themeColor="text1"/>
          <w:sz w:val="24"/>
          <w:highlight w:val="none"/>
          <w:u w:val="single"/>
          <w14:textFill>
            <w14:solidFill>
              <w14:schemeClr w14:val="tx1"/>
            </w14:solidFill>
          </w14:textFill>
        </w:rPr>
        <w:t>货到验收合格后开具发票，入账次月支付40%，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2025年1月份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14:textFill>
            <w14:solidFill>
              <w14:schemeClr w14:val="tx1"/>
            </w14:solidFill>
          </w14:textFill>
        </w:rPr>
        <w:t>80%，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2026年2月份</w:t>
      </w:r>
      <w:r>
        <w:rPr>
          <w:rFonts w:hint="eastAsia" w:ascii="仿宋" w:hAnsi="仿宋" w:eastAsia="仿宋" w:cs="仿宋"/>
          <w:color w:val="000000" w:themeColor="text1"/>
          <w:sz w:val="24"/>
          <w:highlight w:val="none"/>
          <w:u w:val="single"/>
          <w14:textFill>
            <w14:solidFill>
              <w14:schemeClr w14:val="tx1"/>
            </w14:solidFill>
          </w14:textFill>
        </w:rPr>
        <w:t>前付至</w:t>
      </w:r>
      <w:r>
        <w:rPr>
          <w:rFonts w:hint="eastAsia" w:ascii="仿宋" w:hAnsi="仿宋" w:eastAsia="仿宋" w:cs="仿宋"/>
          <w:color w:val="000000" w:themeColor="text1"/>
          <w:sz w:val="24"/>
          <w:highlight w:val="none"/>
          <w:u w:val="single"/>
          <w:lang w:eastAsia="zh-CN"/>
          <w14:textFill>
            <w14:solidFill>
              <w14:schemeClr w14:val="tx1"/>
            </w14:solidFill>
          </w14:textFill>
        </w:rPr>
        <w:t>发票总金额的</w:t>
      </w:r>
      <w:r>
        <w:rPr>
          <w:rFonts w:hint="eastAsia" w:ascii="仿宋" w:hAnsi="仿宋" w:eastAsia="仿宋" w:cs="仿宋"/>
          <w:color w:val="000000" w:themeColor="text1"/>
          <w:sz w:val="24"/>
          <w:highlight w:val="none"/>
          <w:u w:val="single"/>
          <w:lang w:val="en-US" w:eastAsia="zh-CN"/>
          <w14:textFill>
            <w14:solidFill>
              <w14:schemeClr w14:val="tx1"/>
            </w14:solidFill>
          </w14:textFill>
        </w:rPr>
        <w:t>9</w:t>
      </w:r>
      <w:r>
        <w:rPr>
          <w:rFonts w:hint="eastAsia" w:ascii="仿宋" w:hAnsi="仿宋" w:eastAsia="仿宋" w:cs="仿宋"/>
          <w:color w:val="000000" w:themeColor="text1"/>
          <w:sz w:val="24"/>
          <w:highlight w:val="none"/>
          <w:u w:val="single"/>
          <w14:textFill>
            <w14:solidFill>
              <w14:schemeClr w14:val="tx1"/>
            </w14:solidFill>
          </w14:textFill>
        </w:rPr>
        <w:t>0%，</w:t>
      </w:r>
      <w:r>
        <w:rPr>
          <w:rFonts w:hint="eastAsia" w:ascii="仿宋" w:hAnsi="仿宋" w:eastAsia="仿宋" w:cs="仿宋"/>
          <w:color w:val="000000" w:themeColor="text1"/>
          <w:sz w:val="24"/>
          <w:highlight w:val="none"/>
          <w:u w:val="single"/>
          <w:lang w:val="en-US" w:eastAsia="zh-CN"/>
          <w14:textFill>
            <w14:solidFill>
              <w14:schemeClr w14:val="tx1"/>
            </w14:solidFill>
          </w14:textFill>
        </w:rPr>
        <w:t>2027年1月份</w:t>
      </w:r>
      <w:r>
        <w:rPr>
          <w:rFonts w:hint="eastAsia" w:ascii="仿宋" w:hAnsi="仿宋" w:eastAsia="仿宋" w:cs="仿宋"/>
          <w:color w:val="000000" w:themeColor="text1"/>
          <w:sz w:val="24"/>
          <w:highlight w:val="none"/>
          <w:u w:val="single"/>
          <w14:textFill>
            <w14:solidFill>
              <w14:schemeClr w14:val="tx1"/>
            </w14:solidFill>
          </w14:textFill>
        </w:rPr>
        <w:t>前付清。</w:t>
      </w:r>
      <w:r>
        <w:rPr>
          <w:rFonts w:hint="eastAsia" w:ascii="仿宋" w:hAnsi="仿宋" w:eastAsia="仿宋" w:cs="仿宋"/>
          <w:color w:val="171A1D"/>
          <w:sz w:val="24"/>
          <w:highlight w:val="none"/>
          <w:u w:val="single"/>
          <w:shd w:val="clear" w:color="auto" w:fill="FFFFFF"/>
        </w:rPr>
        <w:t>货款以对公转账方式支付至供方对公账户，支付电汇或不超过发票总金额50%的6个月内电子承兑</w:t>
      </w:r>
      <w:r>
        <w:rPr>
          <w:rFonts w:hint="eastAsia" w:ascii="仿宋" w:hAnsi="仿宋" w:eastAsia="仿宋" w:cs="仿宋"/>
          <w:color w:val="171A1D"/>
          <w:sz w:val="24"/>
          <w:szCs w:val="24"/>
          <w:highlight w:val="none"/>
          <w:u w:val="single"/>
          <w:shd w:val="clear" w:color="auto" w:fill="FFFFFF"/>
          <w:lang w:eastAsia="zh-CN"/>
        </w:rPr>
        <w:t>。</w:t>
      </w: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8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8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r>
        <w:rPr>
          <w:rFonts w:hint="eastAsia" w:ascii="仿宋" w:hAnsi="仿宋" w:eastAsia="仿宋" w:cs="仿宋_GB2312"/>
          <w:sz w:val="24"/>
          <w:highlight w:val="none"/>
        </w:rPr>
        <w:t>。</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20"/>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w:t>
      </w:r>
      <w:r>
        <w:rPr>
          <w:rFonts w:hint="eastAsia" w:ascii="仿宋" w:hAnsi="仿宋" w:eastAsia="仿宋"/>
          <w:b/>
          <w:sz w:val="28"/>
          <w:szCs w:val="28"/>
          <w:highlight w:val="none"/>
          <w:lang w:val="en-US" w:eastAsia="zh-CN"/>
        </w:rPr>
        <w:t>91</w:t>
      </w:r>
      <w:r>
        <w:rPr>
          <w:rFonts w:hint="eastAsia" w:ascii="仿宋" w:hAnsi="仿宋" w:eastAsia="仿宋"/>
          <w:b/>
          <w:sz w:val="28"/>
          <w:szCs w:val="28"/>
          <w:highlight w:val="none"/>
        </w:rPr>
        <w:t>）：</w:t>
      </w:r>
    </w:p>
    <w:tbl>
      <w:tblPr>
        <w:tblStyle w:val="47"/>
        <w:tblW w:w="154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2111"/>
        <w:gridCol w:w="2107"/>
        <w:gridCol w:w="793"/>
        <w:gridCol w:w="182"/>
        <w:gridCol w:w="1069"/>
        <w:gridCol w:w="1293"/>
        <w:gridCol w:w="1418"/>
        <w:gridCol w:w="1275"/>
        <w:gridCol w:w="1054"/>
        <w:gridCol w:w="696"/>
        <w:gridCol w:w="2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52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111"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物料名称</w:t>
            </w:r>
          </w:p>
        </w:tc>
        <w:tc>
          <w:tcPr>
            <w:tcW w:w="2107"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型号规格</w:t>
            </w:r>
          </w:p>
        </w:tc>
        <w:tc>
          <w:tcPr>
            <w:tcW w:w="975"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w:t>
            </w:r>
          </w:p>
        </w:tc>
        <w:tc>
          <w:tcPr>
            <w:tcW w:w="1069"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129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含税含运费单价*</w:t>
            </w:r>
          </w:p>
        </w:tc>
        <w:tc>
          <w:tcPr>
            <w:tcW w:w="1418"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含税含运费</w:t>
            </w:r>
          </w:p>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金额*</w:t>
            </w:r>
          </w:p>
        </w:tc>
        <w:tc>
          <w:tcPr>
            <w:tcW w:w="1275"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税率*</w:t>
            </w: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是否为增值税专用发票*</w:t>
            </w:r>
          </w:p>
        </w:tc>
        <w:tc>
          <w:tcPr>
            <w:tcW w:w="2919"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1</w:t>
            </w:r>
          </w:p>
        </w:tc>
        <w:tc>
          <w:tcPr>
            <w:tcW w:w="2111"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PVC 阻燃塑料管</w:t>
            </w:r>
          </w:p>
        </w:tc>
        <w:tc>
          <w:tcPr>
            <w:tcW w:w="2107"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DN20 中型</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米</w:t>
            </w:r>
          </w:p>
        </w:tc>
        <w:tc>
          <w:tcPr>
            <w:tcW w:w="1069"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rPr>
            </w:pPr>
            <w:r>
              <w:rPr>
                <w:rFonts w:hint="eastAsia" w:ascii="仿宋" w:hAnsi="仿宋" w:eastAsia="仿宋" w:cs="仿宋"/>
                <w:i w:val="0"/>
                <w:color w:val="auto"/>
                <w:kern w:val="0"/>
                <w:sz w:val="24"/>
                <w:szCs w:val="24"/>
                <w:u w:val="none"/>
                <w:lang w:val="en-US" w:eastAsia="zh-CN" w:bidi="ar"/>
              </w:rPr>
              <w:t>34350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919"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JG/T3050-1998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3"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2</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DN100正三通</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8610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91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3</w:t>
            </w:r>
          </w:p>
        </w:tc>
        <w:tc>
          <w:tcPr>
            <w:tcW w:w="2111"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auto"/>
                <w:kern w:val="0"/>
                <w:sz w:val="24"/>
                <w:szCs w:val="24"/>
                <w:u w:val="none"/>
                <w:lang w:val="en-US" w:eastAsia="zh-CN" w:bidi="ar"/>
              </w:rPr>
              <w:t>DN100弯头</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r>
              <w:rPr>
                <w:rFonts w:hint="eastAsia" w:ascii="仿宋" w:hAnsi="仿宋" w:eastAsia="仿宋" w:cs="仿宋"/>
                <w:i w:val="0"/>
                <w:color w:val="auto"/>
                <w:kern w:val="0"/>
                <w:sz w:val="24"/>
                <w:szCs w:val="24"/>
                <w:u w:val="none"/>
                <w:lang w:val="en-US" w:eastAsia="zh-CN" w:bidi="ar"/>
              </w:rPr>
              <w:t>8370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4</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DN100直接</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5540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5</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DN100伸缩接</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4490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6</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DN100x50三通</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4270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7</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DN100检查口</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2790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8</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DN75弯头</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11200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9</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DN75三通</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7260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10</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DN50三通</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2370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11</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DN50弯头</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1890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12</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DN50P弯</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2280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13</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UPVC管配件</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DN50S弯</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只</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1960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lang w:val="en-US" w:eastAsia="zh-CN"/>
              </w:rPr>
            </w:pPr>
            <w:r>
              <w:rPr>
                <w:rFonts w:hint="eastAsia" w:ascii="仿宋" w:hAnsi="仿宋" w:eastAsia="仿宋" w:cs="仿宋"/>
                <w:i w:val="0"/>
                <w:color w:val="auto"/>
                <w:kern w:val="0"/>
                <w:sz w:val="24"/>
                <w:szCs w:val="24"/>
                <w:u w:val="none"/>
                <w:lang w:val="en-US" w:eastAsia="zh-CN" w:bidi="ar"/>
              </w:rPr>
              <w:t>14</w:t>
            </w: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PVC-U中空壁消音排水管</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DN100</w:t>
            </w: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米</w:t>
            </w: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12430</w:t>
            </w: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rPr>
            </w:pPr>
          </w:p>
        </w:tc>
        <w:tc>
          <w:tcPr>
            <w:tcW w:w="1750" w:type="dxa"/>
            <w:gridSpan w:val="2"/>
            <w:vAlign w:val="center"/>
          </w:tcPr>
          <w:p>
            <w:pPr>
              <w:spacing w:line="400" w:lineRule="exact"/>
              <w:jc w:val="center"/>
              <w:rPr>
                <w:rFonts w:hint="eastAsia" w:ascii="仿宋" w:hAnsi="仿宋" w:eastAsia="仿宋" w:cs="仿宋"/>
                <w:color w:val="auto"/>
                <w:sz w:val="24"/>
                <w:szCs w:val="24"/>
                <w:highlight w:val="none"/>
              </w:rPr>
            </w:pPr>
          </w:p>
        </w:tc>
        <w:tc>
          <w:tcPr>
            <w:tcW w:w="2919" w:type="dxa"/>
            <w:vAlign w:val="center"/>
          </w:tcPr>
          <w:p>
            <w:pPr>
              <w:widowControl/>
              <w:jc w:val="center"/>
              <w:textAlignment w:val="center"/>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3"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2111"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r>
              <w:rPr>
                <w:rFonts w:hint="eastAsia" w:ascii="仿宋" w:hAnsi="仿宋" w:eastAsia="仿宋" w:cs="仿宋"/>
                <w:i w:val="0"/>
                <w:color w:val="auto"/>
                <w:kern w:val="0"/>
                <w:sz w:val="24"/>
                <w:szCs w:val="24"/>
                <w:u w:val="none"/>
                <w:lang w:val="en-US" w:eastAsia="zh-CN" w:bidi="ar"/>
              </w:rPr>
              <w:t>合计：</w:t>
            </w:r>
          </w:p>
        </w:tc>
        <w:tc>
          <w:tcPr>
            <w:tcW w:w="2107"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975" w:type="dxa"/>
            <w:gridSpan w:val="2"/>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1069" w:type="dxa"/>
            <w:vAlign w:val="center"/>
          </w:tcPr>
          <w:p>
            <w:pPr>
              <w:keepNext w:val="0"/>
              <w:keepLines w:val="0"/>
              <w:widowControl/>
              <w:suppressLineNumbers w:val="0"/>
              <w:jc w:val="center"/>
              <w:textAlignment w:val="center"/>
              <w:rPr>
                <w:rFonts w:hint="eastAsia" w:ascii="仿宋" w:hAnsi="仿宋" w:eastAsia="仿宋" w:cs="仿宋"/>
                <w:i w:val="0"/>
                <w:color w:val="auto"/>
                <w:kern w:val="0"/>
                <w:sz w:val="24"/>
                <w:szCs w:val="24"/>
                <w:u w:val="none"/>
                <w:lang w:val="en-US" w:eastAsia="zh-CN" w:bidi="ar"/>
              </w:rPr>
            </w:pPr>
          </w:p>
        </w:tc>
        <w:tc>
          <w:tcPr>
            <w:tcW w:w="1293" w:type="dxa"/>
            <w:vAlign w:val="center"/>
          </w:tcPr>
          <w:p>
            <w:pPr>
              <w:keepNext w:val="0"/>
              <w:keepLines w:val="0"/>
              <w:widowControl/>
              <w:suppressLineNumbers w:val="0"/>
              <w:jc w:val="center"/>
              <w:textAlignment w:val="center"/>
              <w:rPr>
                <w:rFonts w:hint="eastAsia" w:ascii="仿宋" w:hAnsi="仿宋" w:eastAsia="仿宋" w:cs="仿宋"/>
                <w:color w:val="auto"/>
                <w:sz w:val="24"/>
                <w:szCs w:val="24"/>
              </w:rPr>
            </w:pPr>
          </w:p>
        </w:tc>
        <w:tc>
          <w:tcPr>
            <w:tcW w:w="1418" w:type="dxa"/>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1275" w:type="dxa"/>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1750" w:type="dxa"/>
            <w:gridSpan w:val="2"/>
            <w:vAlign w:val="center"/>
          </w:tcPr>
          <w:p>
            <w:pPr>
              <w:spacing w:line="400" w:lineRule="exact"/>
              <w:jc w:val="center"/>
              <w:rPr>
                <w:rFonts w:hint="eastAsia" w:ascii="仿宋" w:hAnsi="仿宋" w:eastAsia="仿宋" w:cs="仿宋"/>
                <w:color w:val="000000" w:themeColor="text1"/>
                <w:sz w:val="24"/>
                <w:szCs w:val="24"/>
                <w:highlight w:val="none"/>
                <w14:textFill>
                  <w14:solidFill>
                    <w14:schemeClr w14:val="tx1"/>
                  </w14:solidFill>
                </w14:textFill>
              </w:rPr>
            </w:pPr>
          </w:p>
        </w:tc>
        <w:tc>
          <w:tcPr>
            <w:tcW w:w="2919" w:type="dxa"/>
            <w:vAlign w:val="center"/>
          </w:tcPr>
          <w:p>
            <w:pPr>
              <w:widowControl/>
              <w:jc w:val="center"/>
              <w:textAlignment w:val="center"/>
              <w:rPr>
                <w:rFonts w:hint="eastAsia" w:ascii="仿宋" w:hAnsi="仿宋" w:eastAsia="仿宋" w:cs="仿宋"/>
                <w:color w:val="000000" w:themeColor="text1"/>
                <w:kern w:val="0"/>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440" w:type="dxa"/>
            <w:gridSpan w:val="12"/>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说明：1、此报价表中带 </w:t>
            </w:r>
            <w:r>
              <w:rPr>
                <w:rFonts w:hint="eastAsia" w:ascii="仿宋" w:hAnsi="仿宋" w:eastAsia="仿宋" w:cs="仿宋"/>
                <w:color w:val="auto"/>
                <w:sz w:val="24"/>
                <w:szCs w:val="24"/>
                <w:highlight w:val="none"/>
              </w:rPr>
              <w:t>*</w:t>
            </w:r>
            <w:r>
              <w:rPr>
                <w:rFonts w:hint="eastAsia" w:ascii="仿宋" w:hAnsi="仿宋" w:eastAsia="仿宋" w:cs="仿宋"/>
                <w:sz w:val="24"/>
                <w:szCs w:val="24"/>
                <w:highlight w:val="none"/>
              </w:rPr>
              <w:t xml:space="preserve"> 号为必填项，投标人的所有报价文件均为加盖单位公章的打印件（签名部分除外）。</w:t>
            </w:r>
          </w:p>
          <w:p>
            <w:pPr>
              <w:spacing w:line="400" w:lineRule="exact"/>
              <w:ind w:firstLine="720" w:firstLineChars="300"/>
              <w:rPr>
                <w:rFonts w:hint="eastAsia" w:ascii="仿宋" w:hAnsi="仿宋" w:eastAsia="仿宋" w:cs="仿宋"/>
                <w:sz w:val="24"/>
                <w:szCs w:val="24"/>
                <w:highlight w:val="none"/>
              </w:rPr>
            </w:pPr>
            <w:r>
              <w:rPr>
                <w:rFonts w:hint="eastAsia" w:ascii="仿宋" w:hAnsi="仿宋" w:eastAsia="仿宋" w:cs="仿宋"/>
                <w:sz w:val="24"/>
                <w:szCs w:val="24"/>
                <w:highlight w:val="none"/>
              </w:rPr>
              <w:t>2、本次招标的数量为预估量，最终结算数量以双方确认的实际供货数量为准。</w:t>
            </w:r>
          </w:p>
          <w:p>
            <w:pPr>
              <w:spacing w:line="400" w:lineRule="exact"/>
              <w:ind w:firstLine="720" w:firstLineChars="300"/>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534" w:type="dxa"/>
            <w:gridSpan w:val="4"/>
            <w:vMerge w:val="restart"/>
            <w:vAlign w:val="center"/>
          </w:tcPr>
          <w:p>
            <w:pPr>
              <w:spacing w:line="40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投标单位（公章）</w:t>
            </w:r>
          </w:p>
        </w:tc>
        <w:tc>
          <w:tcPr>
            <w:tcW w:w="3962" w:type="dxa"/>
            <w:gridSpan w:val="4"/>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法定代表人或授权委托人</w:t>
            </w:r>
          </w:p>
        </w:tc>
        <w:tc>
          <w:tcPr>
            <w:tcW w:w="5944" w:type="dxa"/>
            <w:gridSpan w:val="4"/>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restart"/>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联系方式</w:t>
            </w: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电话</w:t>
            </w:r>
          </w:p>
        </w:tc>
        <w:tc>
          <w:tcPr>
            <w:tcW w:w="3615" w:type="dxa"/>
            <w:gridSpan w:val="2"/>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5534" w:type="dxa"/>
            <w:gridSpan w:val="4"/>
            <w:vMerge w:val="continue"/>
            <w:vAlign w:val="center"/>
          </w:tcPr>
          <w:p>
            <w:pPr>
              <w:spacing w:line="400" w:lineRule="exact"/>
              <w:rPr>
                <w:rFonts w:hint="eastAsia" w:ascii="仿宋" w:hAnsi="仿宋" w:eastAsia="仿宋" w:cs="仿宋"/>
                <w:sz w:val="24"/>
                <w:szCs w:val="24"/>
                <w:highlight w:val="none"/>
              </w:rPr>
            </w:pPr>
          </w:p>
        </w:tc>
        <w:tc>
          <w:tcPr>
            <w:tcW w:w="3962" w:type="dxa"/>
            <w:gridSpan w:val="4"/>
            <w:vMerge w:val="continue"/>
            <w:vAlign w:val="center"/>
          </w:tcPr>
          <w:p>
            <w:pPr>
              <w:spacing w:line="400" w:lineRule="exact"/>
              <w:jc w:val="center"/>
              <w:rPr>
                <w:rFonts w:hint="eastAsia" w:ascii="仿宋" w:hAnsi="仿宋" w:eastAsia="仿宋" w:cs="仿宋"/>
                <w:sz w:val="24"/>
                <w:szCs w:val="24"/>
                <w:highlight w:val="none"/>
              </w:rPr>
            </w:pPr>
          </w:p>
        </w:tc>
        <w:tc>
          <w:tcPr>
            <w:tcW w:w="2329"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邮箱</w:t>
            </w:r>
          </w:p>
        </w:tc>
        <w:tc>
          <w:tcPr>
            <w:tcW w:w="3615" w:type="dxa"/>
            <w:gridSpan w:val="2"/>
            <w:vAlign w:val="center"/>
          </w:tcPr>
          <w:p>
            <w:pPr>
              <w:spacing w:line="400" w:lineRule="exact"/>
              <w:rPr>
                <w:rFonts w:hint="eastAsia" w:ascii="仿宋" w:hAnsi="仿宋" w:eastAsia="仿宋" w:cs="仿宋"/>
                <w:sz w:val="24"/>
                <w:szCs w:val="24"/>
                <w:highlight w:val="none"/>
              </w:rPr>
            </w:pPr>
          </w:p>
        </w:tc>
      </w:tr>
    </w:tbl>
    <w:p>
      <w:pPr>
        <w:spacing w:line="400" w:lineRule="exact"/>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2"/>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