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楷体_GB2312" w:hAnsi="宋体" w:eastAsia="楷体_GB2312" w:cs="宋体"/>
          <w:kern w:val="1"/>
          <w:sz w:val="44"/>
          <w:szCs w:val="44"/>
        </w:rPr>
      </w:pPr>
      <w:r>
        <w:rPr>
          <w:rFonts w:ascii="楷体_GB2312" w:hAnsi="宋体" w:eastAsia="楷体_GB2312" w:cs="宋体"/>
          <w:kern w:val="1"/>
          <w:sz w:val="44"/>
          <w:szCs w:val="44"/>
        </w:rPr>
        <mc:AlternateContent>
          <mc:Choice Requires="wps">
            <w:drawing>
              <wp:anchor distT="0" distB="0" distL="114300" distR="114300" simplePos="0" relativeHeight="251660288"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a:effectLst/>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6192;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h0EmN0AAAAAMBAAAPAAAAAAAAAAEAIAAAACIAAABkcnMv&#10;ZG93bnJldi54bWxQSwECFAAUAAAACACHTuJA8olxHdIBAACkAwAADgAAAAAAAAABACAAAAAfAQAA&#10;ZHJzL2Uyb0RvYy54bWxQSwUGAAAAAAYABgBZAQAAYwUAAAAA&#10;">
                <v:fill on="f" focussize="0,0"/>
                <v:stroke on="f"/>
                <v:imagedata o:title=""/>
                <o:lock v:ext="edit" aspectratio="f"/>
                <v:textbox inset="0mm,0mm,0mm,0mm" style="mso-fit-shape-to-text:t;">
                  <w:txbxContent>
                    <w:p/>
                  </w:txbxContent>
                </v:textbox>
              </v:shape>
            </w:pict>
          </mc:Fallback>
        </mc:AlternateContent>
      </w:r>
    </w:p>
    <w:p>
      <w:pPr>
        <w:spacing w:line="560" w:lineRule="exact"/>
        <w:jc w:val="center"/>
        <w:rPr>
          <w:rFonts w:ascii="楷体_GB2312" w:hAnsi="宋体" w:eastAsia="楷体_GB2312" w:cs="宋体"/>
          <w:kern w:val="1"/>
          <w:sz w:val="44"/>
          <w:szCs w:val="44"/>
          <w:u w:val="single"/>
        </w:rPr>
      </w:pPr>
    </w:p>
    <w:p>
      <w:pPr>
        <w:spacing w:line="560" w:lineRule="exact"/>
        <w:ind w:firstLine="1325" w:firstLineChars="300"/>
        <w:jc w:val="center"/>
        <w:rPr>
          <w:rFonts w:hint="eastAsia" w:ascii="仿宋" w:hAnsi="仿宋" w:eastAsia="仿宋" w:cs="宋体"/>
          <w:b/>
          <w:bCs/>
          <w:strike w:val="0"/>
          <w:dstrike w:val="0"/>
          <w:kern w:val="1"/>
          <w:sz w:val="44"/>
          <w:szCs w:val="44"/>
          <w:u w:val="none"/>
          <w:lang w:eastAsia="zh-CN"/>
        </w:rPr>
      </w:pPr>
      <w:r>
        <w:rPr>
          <w:rFonts w:hint="eastAsia" w:ascii="仿宋" w:hAnsi="仿宋" w:eastAsia="仿宋" w:cs="宋体"/>
          <w:b/>
          <w:bCs/>
          <w:strike w:val="0"/>
          <w:dstrike w:val="0"/>
          <w:kern w:val="1"/>
          <w:sz w:val="44"/>
          <w:szCs w:val="44"/>
          <w:u w:val="none"/>
        </w:rPr>
        <w:t>铜陵</w:t>
      </w:r>
      <w:r>
        <w:rPr>
          <w:rFonts w:hint="eastAsia" w:ascii="仿宋" w:hAnsi="仿宋" w:eastAsia="仿宋" w:cs="宋体"/>
          <w:b/>
          <w:bCs/>
          <w:strike w:val="0"/>
          <w:dstrike w:val="0"/>
          <w:kern w:val="1"/>
          <w:sz w:val="44"/>
          <w:szCs w:val="44"/>
          <w:u w:val="none"/>
          <w:lang w:val="en-US" w:eastAsia="zh-CN"/>
        </w:rPr>
        <w:t>有色</w:t>
      </w:r>
      <w:r>
        <w:rPr>
          <w:rFonts w:hint="eastAsia" w:ascii="仿宋" w:hAnsi="仿宋" w:eastAsia="仿宋" w:cs="宋体"/>
          <w:b/>
          <w:bCs/>
          <w:strike w:val="0"/>
          <w:dstrike w:val="0"/>
          <w:kern w:val="1"/>
          <w:sz w:val="44"/>
          <w:szCs w:val="44"/>
          <w:u w:val="none"/>
        </w:rPr>
        <w:t>铜冠建安公司</w:t>
      </w:r>
      <w:r>
        <w:rPr>
          <w:rFonts w:hint="eastAsia" w:ascii="仿宋" w:hAnsi="仿宋" w:eastAsia="仿宋" w:cs="宋体"/>
          <w:b/>
          <w:bCs/>
          <w:strike w:val="0"/>
          <w:dstrike w:val="0"/>
          <w:kern w:val="1"/>
          <w:sz w:val="44"/>
          <w:szCs w:val="44"/>
          <w:u w:val="none"/>
          <w:lang w:eastAsia="zh-CN"/>
        </w:rPr>
        <w:t>（</w:t>
      </w:r>
      <w:r>
        <w:rPr>
          <w:rFonts w:hint="eastAsia" w:ascii="仿宋" w:hAnsi="仿宋" w:eastAsia="仿宋" w:cs="宋体"/>
          <w:b/>
          <w:bCs/>
          <w:strike w:val="0"/>
          <w:dstrike w:val="0"/>
          <w:kern w:val="1"/>
          <w:sz w:val="44"/>
          <w:szCs w:val="44"/>
          <w:u w:val="none"/>
          <w:lang w:val="en-US" w:eastAsia="zh-CN"/>
        </w:rPr>
        <w:t>含分子公司）</w:t>
      </w:r>
    </w:p>
    <w:p>
      <w:pPr>
        <w:spacing w:line="560" w:lineRule="exact"/>
        <w:ind w:firstLine="1325" w:firstLineChars="300"/>
        <w:jc w:val="center"/>
        <w:rPr>
          <w:rFonts w:hint="default" w:ascii="仿宋" w:hAnsi="仿宋" w:eastAsia="仿宋" w:cs="宋体"/>
          <w:b/>
          <w:bCs/>
          <w:strike w:val="0"/>
          <w:dstrike w:val="0"/>
          <w:kern w:val="1"/>
          <w:sz w:val="44"/>
          <w:szCs w:val="44"/>
          <w:u w:val="none"/>
          <w:lang w:val="en-US" w:eastAsia="zh-CN"/>
        </w:rPr>
      </w:pPr>
      <w:r>
        <w:rPr>
          <w:rFonts w:hint="eastAsia" w:ascii="仿宋" w:hAnsi="仿宋" w:eastAsia="仿宋" w:cs="宋体"/>
          <w:b/>
          <w:bCs/>
          <w:strike w:val="0"/>
          <w:dstrike w:val="0"/>
          <w:kern w:val="1"/>
          <w:sz w:val="44"/>
          <w:szCs w:val="44"/>
          <w:u w:val="none"/>
          <w:lang w:val="en-US" w:eastAsia="zh-CN"/>
        </w:rPr>
        <w:t>2024年危废处理</w:t>
      </w:r>
    </w:p>
    <w:p>
      <w:pPr>
        <w:spacing w:line="560" w:lineRule="exact"/>
        <w:rPr>
          <w:rFonts w:ascii="仿宋" w:hAnsi="仿宋" w:eastAsia="仿宋"/>
          <w:sz w:val="44"/>
          <w:szCs w:val="44"/>
        </w:rPr>
      </w:pPr>
    </w:p>
    <w:p>
      <w:pPr>
        <w:tabs>
          <w:tab w:val="left" w:pos="7020"/>
        </w:tabs>
        <w:jc w:val="center"/>
        <w:rPr>
          <w:rFonts w:ascii="仿宋" w:hAnsi="仿宋" w:eastAsia="仿宋"/>
          <w:b/>
          <w:sz w:val="72"/>
          <w:szCs w:val="72"/>
        </w:rPr>
      </w:pPr>
      <w:r>
        <w:rPr>
          <w:rFonts w:hint="eastAsia" w:ascii="仿宋" w:hAnsi="仿宋" w:eastAsia="仿宋"/>
          <w:b/>
          <w:sz w:val="72"/>
          <w:szCs w:val="72"/>
        </w:rPr>
        <w:t>招标文件</w:t>
      </w:r>
    </w:p>
    <w:p>
      <w:pPr>
        <w:tabs>
          <w:tab w:val="left" w:pos="7020"/>
        </w:tabs>
        <w:spacing w:line="560" w:lineRule="exact"/>
        <w:jc w:val="center"/>
        <w:rPr>
          <w:rFonts w:ascii="仿宋" w:hAnsi="仿宋" w:eastAsia="仿宋"/>
          <w:b/>
          <w:sz w:val="52"/>
          <w:szCs w:val="52"/>
        </w:rPr>
      </w:pPr>
    </w:p>
    <w:p>
      <w:pPr>
        <w:tabs>
          <w:tab w:val="left" w:pos="7020"/>
        </w:tabs>
        <w:spacing w:line="560" w:lineRule="exact"/>
        <w:jc w:val="center"/>
        <w:rPr>
          <w:rFonts w:ascii="仿宋" w:hAnsi="仿宋" w:eastAsia="仿宋"/>
          <w:b/>
          <w:sz w:val="52"/>
          <w:szCs w:val="52"/>
        </w:rPr>
      </w:pPr>
    </w:p>
    <w:p>
      <w:pPr>
        <w:spacing w:line="560" w:lineRule="exact"/>
        <w:rPr>
          <w:rFonts w:hint="default" w:ascii="仿宋" w:hAnsi="仿宋" w:eastAsia="仿宋" w:cs="仿宋_GB2312"/>
          <w:b/>
          <w:bCs/>
          <w:sz w:val="32"/>
          <w:szCs w:val="32"/>
          <w:highlight w:val="none"/>
          <w:u w:val="single"/>
          <w:lang w:val="en-US" w:eastAsia="zh-CN"/>
        </w:rPr>
      </w:pPr>
      <w:r>
        <w:rPr>
          <w:rFonts w:hint="eastAsia" w:ascii="仿宋" w:hAnsi="仿宋" w:eastAsia="仿宋" w:cs="仿宋_GB2312"/>
          <w:b/>
          <w:bCs/>
          <w:sz w:val="32"/>
          <w:szCs w:val="32"/>
        </w:rPr>
        <w:t>招标编号：</w:t>
      </w:r>
      <w:r>
        <w:rPr>
          <w:rFonts w:hint="eastAsia" w:ascii="仿宋" w:hAnsi="仿宋" w:eastAsia="仿宋" w:cs="仿宋_GB2312"/>
          <w:b/>
          <w:bCs/>
          <w:sz w:val="32"/>
          <w:szCs w:val="32"/>
          <w:u w:val="single"/>
        </w:rPr>
        <w:t>TGJA-WZ-202</w:t>
      </w:r>
      <w:r>
        <w:rPr>
          <w:rFonts w:hint="eastAsia" w:ascii="仿宋" w:hAnsi="仿宋" w:eastAsia="仿宋" w:cs="仿宋_GB2312"/>
          <w:b/>
          <w:bCs/>
          <w:sz w:val="32"/>
          <w:szCs w:val="32"/>
          <w:highlight w:val="none"/>
          <w:u w:val="single"/>
        </w:rPr>
        <w:t>3</w:t>
      </w:r>
      <w:r>
        <w:rPr>
          <w:rFonts w:hint="eastAsia" w:ascii="仿宋" w:hAnsi="仿宋" w:eastAsia="仿宋" w:cs="仿宋_GB2312"/>
          <w:b/>
          <w:bCs/>
          <w:sz w:val="32"/>
          <w:szCs w:val="32"/>
          <w:highlight w:val="none"/>
          <w:u w:val="single"/>
          <w:lang w:val="en-US" w:eastAsia="zh-CN"/>
        </w:rPr>
        <w:t>184</w:t>
      </w:r>
    </w:p>
    <w:p>
      <w:pPr>
        <w:spacing w:line="560" w:lineRule="exact"/>
        <w:rPr>
          <w:rFonts w:ascii="仿宋" w:hAnsi="仿宋" w:eastAsia="仿宋" w:cs="仿宋_GB2312"/>
          <w:b/>
          <w:bCs/>
          <w:sz w:val="32"/>
          <w:szCs w:val="32"/>
          <w:u w:val="single"/>
        </w:rPr>
      </w:pPr>
    </w:p>
    <w:p>
      <w:pPr>
        <w:spacing w:line="560" w:lineRule="exact"/>
        <w:rPr>
          <w:rFonts w:ascii="仿宋" w:hAnsi="仿宋" w:eastAsia="仿宋" w:cs="仿宋_GB2312"/>
          <w:b/>
          <w:bCs/>
          <w:sz w:val="32"/>
          <w:szCs w:val="32"/>
          <w:u w:val="single"/>
        </w:rPr>
      </w:pPr>
      <w:r>
        <w:rPr>
          <w:rFonts w:hint="eastAsia" w:ascii="仿宋" w:hAnsi="仿宋" w:eastAsia="仿宋" w:cs="仿宋_GB2312"/>
          <w:b/>
          <w:bCs/>
          <w:sz w:val="32"/>
          <w:szCs w:val="32"/>
        </w:rPr>
        <w:t>招标公告发布日期：</w:t>
      </w:r>
      <w:r>
        <w:rPr>
          <w:rFonts w:hint="eastAsia" w:ascii="仿宋" w:hAnsi="仿宋" w:eastAsia="仿宋" w:cs="仿宋_GB2312"/>
          <w:b/>
          <w:bCs/>
          <w:sz w:val="32"/>
          <w:szCs w:val="32"/>
          <w:u w:val="single"/>
        </w:rPr>
        <w:t>2023年1</w:t>
      </w:r>
      <w:r>
        <w:rPr>
          <w:rFonts w:hint="eastAsia" w:ascii="仿宋" w:hAnsi="仿宋" w:eastAsia="仿宋" w:cs="仿宋_GB2312"/>
          <w:b/>
          <w:bCs/>
          <w:sz w:val="32"/>
          <w:szCs w:val="32"/>
          <w:u w:val="single"/>
          <w:lang w:val="en-US" w:eastAsia="zh-CN"/>
        </w:rPr>
        <w:t>2</w:t>
      </w:r>
      <w:r>
        <w:rPr>
          <w:rFonts w:hint="eastAsia" w:ascii="仿宋" w:hAnsi="仿宋" w:eastAsia="仿宋" w:cs="仿宋_GB2312"/>
          <w:b/>
          <w:bCs/>
          <w:sz w:val="32"/>
          <w:szCs w:val="32"/>
          <w:u w:val="single"/>
        </w:rPr>
        <w:t>月</w:t>
      </w:r>
      <w:r>
        <w:rPr>
          <w:rFonts w:hint="eastAsia" w:ascii="仿宋" w:hAnsi="仿宋" w:eastAsia="仿宋" w:cs="仿宋_GB2312"/>
          <w:b/>
          <w:bCs/>
          <w:sz w:val="32"/>
          <w:szCs w:val="32"/>
          <w:highlight w:val="none"/>
          <w:u w:val="single"/>
          <w:lang w:val="en-US" w:eastAsia="zh-CN"/>
        </w:rPr>
        <w:t>25</w:t>
      </w:r>
      <w:r>
        <w:rPr>
          <w:rFonts w:hint="eastAsia" w:ascii="仿宋" w:hAnsi="仿宋" w:eastAsia="仿宋" w:cs="仿宋_GB2312"/>
          <w:b/>
          <w:bCs/>
          <w:sz w:val="32"/>
          <w:szCs w:val="32"/>
          <w:u w:val="single"/>
        </w:rPr>
        <w:t>日</w:t>
      </w:r>
    </w:p>
    <w:p>
      <w:pPr>
        <w:spacing w:line="560" w:lineRule="exact"/>
        <w:rPr>
          <w:rFonts w:ascii="仿宋" w:hAnsi="仿宋" w:eastAsia="仿宋" w:cs="仿宋_GB2312"/>
          <w:b/>
          <w:bCs/>
          <w:sz w:val="32"/>
          <w:szCs w:val="32"/>
          <w:u w:val="single"/>
        </w:rPr>
      </w:pPr>
    </w:p>
    <w:p>
      <w:pPr>
        <w:spacing w:line="560" w:lineRule="exact"/>
        <w:rPr>
          <w:rFonts w:ascii="仿宋" w:hAnsi="仿宋" w:eastAsia="仿宋" w:cs="仿宋_GB2312"/>
          <w:b/>
          <w:bCs/>
          <w:sz w:val="32"/>
          <w:szCs w:val="32"/>
        </w:rPr>
      </w:pPr>
      <w:r>
        <w:rPr>
          <w:rFonts w:hint="eastAsia" w:ascii="仿宋" w:hAnsi="仿宋" w:eastAsia="仿宋" w:cs="仿宋_GB2312"/>
          <w:b/>
          <w:bCs/>
          <w:sz w:val="32"/>
          <w:szCs w:val="32"/>
        </w:rPr>
        <w:t>招 标 人: 铜陵有色金属集团铜冠建筑安装股份有限公司（盖章）</w:t>
      </w:r>
    </w:p>
    <w:p>
      <w:pPr>
        <w:spacing w:line="560" w:lineRule="exact"/>
        <w:rPr>
          <w:rFonts w:ascii="仿宋" w:hAnsi="仿宋" w:eastAsia="仿宋" w:cs="仿宋_GB2312"/>
          <w:b/>
          <w:bCs/>
          <w:sz w:val="32"/>
          <w:szCs w:val="32"/>
        </w:rPr>
      </w:pPr>
    </w:p>
    <w:p>
      <w:pPr>
        <w:spacing w:line="560" w:lineRule="exact"/>
        <w:rPr>
          <w:rFonts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lang w:val="en-US" w:eastAsia="zh-CN"/>
        </w:rPr>
        <w:t>何文静（17356041764）</w:t>
      </w:r>
      <w:r>
        <w:rPr>
          <w:rFonts w:hint="eastAsia" w:ascii="仿宋" w:hAnsi="仿宋" w:eastAsia="仿宋" w:cs="仿宋_GB2312"/>
          <w:b/>
          <w:bCs/>
          <w:sz w:val="32"/>
          <w:szCs w:val="32"/>
          <w:u w:val="single"/>
        </w:rPr>
        <w:t>、</w:t>
      </w:r>
      <w:r>
        <w:rPr>
          <w:rFonts w:hint="eastAsia" w:ascii="仿宋" w:hAnsi="仿宋" w:eastAsia="仿宋" w:cs="仿宋_GB2312"/>
          <w:b/>
          <w:bCs/>
          <w:sz w:val="32"/>
          <w:szCs w:val="32"/>
          <w:u w:val="single"/>
          <w:lang w:val="en-US" w:eastAsia="zh-CN"/>
        </w:rPr>
        <w:t>张少雄</w:t>
      </w:r>
      <w:r>
        <w:rPr>
          <w:rFonts w:hint="eastAsia" w:ascii="仿宋" w:hAnsi="仿宋" w:eastAsia="仿宋" w:cs="仿宋_GB2312"/>
          <w:b/>
          <w:bCs/>
          <w:sz w:val="32"/>
          <w:szCs w:val="32"/>
          <w:u w:val="single"/>
        </w:rPr>
        <w:t>（</w:t>
      </w:r>
      <w:r>
        <w:rPr>
          <w:rFonts w:hint="eastAsia" w:ascii="仿宋" w:hAnsi="仿宋" w:eastAsia="仿宋" w:cs="仿宋_GB2312"/>
          <w:b/>
          <w:bCs/>
          <w:sz w:val="32"/>
          <w:szCs w:val="32"/>
          <w:u w:val="single"/>
          <w:lang w:val="en-US" w:eastAsia="zh-CN"/>
        </w:rPr>
        <w:t>17856523755</w:t>
      </w:r>
      <w:r>
        <w:rPr>
          <w:rFonts w:hint="eastAsia" w:ascii="仿宋" w:hAnsi="仿宋" w:eastAsia="仿宋" w:cs="仿宋_GB2312"/>
          <w:b/>
          <w:bCs/>
          <w:sz w:val="32"/>
          <w:szCs w:val="32"/>
          <w:u w:val="single"/>
        </w:rPr>
        <w:t>）</w:t>
      </w:r>
    </w:p>
    <w:p>
      <w:pPr>
        <w:tabs>
          <w:tab w:val="left" w:pos="7020"/>
        </w:tabs>
        <w:snapToGrid w:val="0"/>
        <w:spacing w:line="560" w:lineRule="exact"/>
        <w:jc w:val="left"/>
        <w:rPr>
          <w:rFonts w:ascii="仿宋" w:hAnsi="仿宋" w:eastAsia="仿宋" w:cs="仿宋_GB2312"/>
          <w:b/>
          <w:bCs/>
          <w:sz w:val="32"/>
          <w:szCs w:val="32"/>
          <w:u w:val="single"/>
        </w:rPr>
      </w:pPr>
    </w:p>
    <w:p>
      <w:pPr>
        <w:tabs>
          <w:tab w:val="left" w:pos="7020"/>
        </w:tabs>
        <w:snapToGrid w:val="0"/>
        <w:spacing w:line="560" w:lineRule="exact"/>
        <w:jc w:val="left"/>
        <w:rPr>
          <w:rFonts w:ascii="仿宋" w:hAnsi="仿宋" w:eastAsia="仿宋" w:cs="仿宋_GB2312"/>
          <w:b/>
          <w:bCs/>
          <w:sz w:val="32"/>
          <w:szCs w:val="32"/>
          <w:u w:val="single"/>
        </w:rPr>
        <w:sectPr>
          <w:headerReference r:id="rId3" w:type="default"/>
          <w:footerReference r:id="rId4" w:type="default"/>
          <w:footerReference r:id="rId5" w:type="even"/>
          <w:pgSz w:w="11906" w:h="16838"/>
          <w:pgMar w:top="1440" w:right="1417" w:bottom="1440" w:left="1417" w:header="851" w:footer="992" w:gutter="0"/>
          <w:pgNumType w:start="1"/>
          <w:cols w:space="720" w:num="1"/>
          <w:docGrid w:type="lines" w:linePitch="312" w:charSpace="0"/>
        </w:sectPr>
      </w:pPr>
    </w:p>
    <w:p>
      <w:pPr>
        <w:spacing w:line="360" w:lineRule="auto"/>
        <w:rPr>
          <w:rFonts w:ascii="仿宋" w:hAnsi="仿宋" w:eastAsia="仿宋" w:cs="仿宋_GB2312"/>
          <w:b/>
          <w:bCs/>
          <w:sz w:val="24"/>
        </w:rPr>
      </w:pPr>
      <w:r>
        <w:rPr>
          <w:rFonts w:hint="eastAsia" w:ascii="仿宋" w:hAnsi="仿宋" w:eastAsia="仿宋" w:cs="仿宋_GB2312"/>
          <w:b/>
          <w:bCs/>
          <w:sz w:val="24"/>
        </w:rPr>
        <w:t>【声明】</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2、公开招标（竞价）为不见面开标。</w:t>
      </w: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一、招标日程安排</w:t>
      </w:r>
    </w:p>
    <w:p>
      <w:pPr>
        <w:spacing w:line="360" w:lineRule="auto"/>
        <w:rPr>
          <w:rFonts w:ascii="仿宋" w:hAnsi="仿宋" w:eastAsia="仿宋" w:cs="仿宋_GB2312"/>
          <w:b/>
          <w:sz w:val="24"/>
        </w:rPr>
      </w:pPr>
    </w:p>
    <w:p>
      <w:pPr>
        <w:spacing w:line="360" w:lineRule="auto"/>
        <w:ind w:firstLine="480" w:firstLineChars="200"/>
        <w:rPr>
          <w:rFonts w:ascii="仿宋" w:hAnsi="仿宋" w:eastAsia="仿宋" w:cs="仿宋"/>
          <w:sz w:val="24"/>
          <w:u w:val="single"/>
        </w:rPr>
      </w:pPr>
      <w:r>
        <w:rPr>
          <w:rFonts w:hint="eastAsia" w:ascii="仿宋" w:hAnsi="仿宋" w:eastAsia="仿宋" w:cs="仿宋_GB2312"/>
          <w:sz w:val="24"/>
        </w:rPr>
        <w:t>1、</w:t>
      </w:r>
      <w:r>
        <w:rPr>
          <w:rFonts w:hint="eastAsia" w:ascii="仿宋" w:hAnsi="仿宋" w:eastAsia="仿宋" w:cs="仿宋"/>
          <w:sz w:val="24"/>
        </w:rPr>
        <w:t>招标公告发布日期：</w:t>
      </w:r>
      <w:r>
        <w:rPr>
          <w:rFonts w:hint="eastAsia" w:ascii="仿宋" w:hAnsi="仿宋" w:eastAsia="仿宋" w:cs="仿宋"/>
          <w:sz w:val="24"/>
          <w:u w:val="single"/>
        </w:rPr>
        <w:t>2023年</w:t>
      </w:r>
      <w:r>
        <w:rPr>
          <w:rFonts w:hint="eastAsia" w:ascii="仿宋" w:hAnsi="仿宋" w:eastAsia="仿宋" w:cs="仿宋"/>
          <w:sz w:val="24"/>
          <w:u w:val="single"/>
          <w:lang w:val="en-US" w:eastAsia="zh-CN"/>
        </w:rPr>
        <w:t>12</w:t>
      </w:r>
      <w:r>
        <w:rPr>
          <w:rFonts w:hint="eastAsia" w:ascii="仿宋" w:hAnsi="仿宋" w:eastAsia="仿宋" w:cs="仿宋"/>
          <w:sz w:val="24"/>
          <w:u w:val="single"/>
        </w:rPr>
        <w:t>月</w:t>
      </w:r>
      <w:r>
        <w:rPr>
          <w:rFonts w:hint="eastAsia" w:ascii="仿宋" w:hAnsi="仿宋" w:eastAsia="仿宋" w:cs="仿宋"/>
          <w:sz w:val="24"/>
          <w:highlight w:val="none"/>
          <w:u w:val="single"/>
          <w:lang w:val="en-US" w:eastAsia="zh-CN"/>
        </w:rPr>
        <w:t>25</w:t>
      </w:r>
      <w:r>
        <w:rPr>
          <w:rFonts w:hint="eastAsia" w:ascii="仿宋" w:hAnsi="仿宋" w:eastAsia="仿宋" w:cs="仿宋"/>
          <w:sz w:val="24"/>
          <w:u w:val="single"/>
        </w:rPr>
        <w:t>日</w:t>
      </w:r>
    </w:p>
    <w:p>
      <w:pPr>
        <w:spacing w:line="360" w:lineRule="auto"/>
        <w:ind w:firstLine="480" w:firstLineChars="200"/>
        <w:rPr>
          <w:rFonts w:ascii="仿宋" w:hAnsi="仿宋" w:eastAsia="仿宋" w:cs="仿宋"/>
          <w:sz w:val="24"/>
          <w:highlight w:val="none"/>
          <w:u w:val="single"/>
        </w:rPr>
      </w:pPr>
      <w:r>
        <w:rPr>
          <w:rFonts w:hint="eastAsia" w:ascii="仿宋" w:hAnsi="仿宋" w:eastAsia="仿宋" w:cs="仿宋"/>
          <w:sz w:val="24"/>
        </w:rPr>
        <w:t>2、投标截止时间：</w:t>
      </w:r>
      <w:r>
        <w:rPr>
          <w:rFonts w:hint="eastAsia" w:ascii="仿宋" w:hAnsi="仿宋" w:eastAsia="仿宋" w:cs="仿宋"/>
          <w:sz w:val="24"/>
          <w:u w:val="single"/>
        </w:rPr>
        <w:t>202</w:t>
      </w:r>
      <w:r>
        <w:rPr>
          <w:rFonts w:hint="eastAsia" w:ascii="仿宋" w:hAnsi="仿宋" w:eastAsia="仿宋" w:cs="仿宋"/>
          <w:sz w:val="24"/>
          <w:u w:val="single"/>
          <w:lang w:val="en-US" w:eastAsia="zh-CN"/>
        </w:rPr>
        <w:t>4</w:t>
      </w:r>
      <w:r>
        <w:rPr>
          <w:rFonts w:hint="eastAsia" w:ascii="仿宋" w:hAnsi="仿宋" w:eastAsia="仿宋" w:cs="仿宋"/>
          <w:sz w:val="24"/>
          <w:u w:val="single"/>
        </w:rPr>
        <w:t>年</w:t>
      </w:r>
      <w:r>
        <w:rPr>
          <w:rFonts w:hint="eastAsia" w:ascii="仿宋" w:hAnsi="仿宋" w:eastAsia="仿宋" w:cs="仿宋"/>
          <w:sz w:val="24"/>
          <w:u w:val="single"/>
          <w:lang w:val="en-US" w:eastAsia="zh-CN"/>
        </w:rPr>
        <w:t>1</w:t>
      </w:r>
      <w:r>
        <w:rPr>
          <w:rFonts w:hint="eastAsia" w:ascii="仿宋" w:hAnsi="仿宋" w:eastAsia="仿宋" w:cs="仿宋"/>
          <w:sz w:val="24"/>
          <w:highlight w:val="none"/>
          <w:u w:val="single"/>
        </w:rPr>
        <w:t>月</w:t>
      </w:r>
      <w:r>
        <w:rPr>
          <w:rFonts w:hint="eastAsia" w:ascii="仿宋" w:hAnsi="仿宋" w:eastAsia="仿宋" w:cs="仿宋"/>
          <w:sz w:val="24"/>
          <w:highlight w:val="none"/>
          <w:u w:val="single"/>
          <w:lang w:val="en-US" w:eastAsia="zh-CN"/>
        </w:rPr>
        <w:t>3</w:t>
      </w:r>
      <w:r>
        <w:rPr>
          <w:rFonts w:hint="eastAsia" w:ascii="仿宋" w:hAnsi="仿宋" w:eastAsia="仿宋" w:cs="仿宋"/>
          <w:sz w:val="24"/>
          <w:highlight w:val="none"/>
          <w:u w:val="single"/>
        </w:rPr>
        <w:t>日9:00</w:t>
      </w:r>
    </w:p>
    <w:p>
      <w:pPr>
        <w:spacing w:line="360" w:lineRule="auto"/>
        <w:ind w:firstLine="480" w:firstLineChars="200"/>
        <w:rPr>
          <w:rFonts w:ascii="仿宋" w:hAnsi="仿宋" w:eastAsia="仿宋" w:cs="仿宋"/>
          <w:sz w:val="24"/>
        </w:rPr>
      </w:pPr>
      <w:r>
        <w:rPr>
          <w:rFonts w:hint="eastAsia" w:ascii="仿宋" w:hAnsi="仿宋" w:eastAsia="仿宋" w:cs="仿宋"/>
          <w:sz w:val="24"/>
        </w:rPr>
        <w:t>3、投标文件递交地点：铜陵有色金属集团铜冠建筑安装股份有限公司经营部（黄山大道南段879号主楼四楼）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
          <w:sz w:val="24"/>
          <w:u w:val="single"/>
        </w:rPr>
      </w:pPr>
      <w:r>
        <w:rPr>
          <w:rFonts w:hint="eastAsia" w:ascii="仿宋" w:hAnsi="仿宋" w:eastAsia="仿宋" w:cs="仿宋"/>
          <w:sz w:val="24"/>
        </w:rPr>
        <w:t>4、投标文件收件人：</w:t>
      </w:r>
      <w:r>
        <w:rPr>
          <w:rFonts w:hint="eastAsia" w:ascii="仿宋" w:hAnsi="仿宋" w:eastAsia="仿宋" w:cs="仿宋"/>
          <w:sz w:val="24"/>
          <w:u w:val="single"/>
        </w:rPr>
        <w:t>黄赟（18656211500）</w:t>
      </w:r>
    </w:p>
    <w:p>
      <w:pPr>
        <w:spacing w:line="360" w:lineRule="auto"/>
        <w:ind w:firstLine="480" w:firstLineChars="200"/>
        <w:rPr>
          <w:rFonts w:ascii="仿宋" w:hAnsi="仿宋" w:eastAsia="仿宋" w:cs="仿宋"/>
          <w:sz w:val="24"/>
          <w:u w:val="single"/>
        </w:rPr>
      </w:pPr>
      <w:r>
        <w:rPr>
          <w:rFonts w:hint="eastAsia" w:ascii="仿宋" w:hAnsi="仿宋" w:eastAsia="仿宋" w:cs="仿宋"/>
          <w:sz w:val="24"/>
        </w:rPr>
        <w:t>5、开标时间：</w:t>
      </w:r>
      <w:r>
        <w:rPr>
          <w:rFonts w:hint="eastAsia" w:ascii="仿宋" w:hAnsi="仿宋" w:eastAsia="仿宋" w:cs="仿宋"/>
          <w:sz w:val="24"/>
          <w:u w:val="single"/>
        </w:rPr>
        <w:t>202</w:t>
      </w:r>
      <w:r>
        <w:rPr>
          <w:rFonts w:hint="eastAsia" w:ascii="仿宋" w:hAnsi="仿宋" w:eastAsia="仿宋" w:cs="仿宋"/>
          <w:sz w:val="24"/>
          <w:u w:val="single"/>
          <w:lang w:val="en-US" w:eastAsia="zh-CN"/>
        </w:rPr>
        <w:t>4</w:t>
      </w:r>
      <w:r>
        <w:rPr>
          <w:rFonts w:hint="eastAsia" w:ascii="仿宋" w:hAnsi="仿宋" w:eastAsia="仿宋" w:cs="仿宋"/>
          <w:sz w:val="24"/>
          <w:u w:val="single"/>
        </w:rPr>
        <w:t>年1</w:t>
      </w:r>
      <w:r>
        <w:rPr>
          <w:rFonts w:hint="eastAsia" w:ascii="仿宋" w:hAnsi="仿宋" w:eastAsia="仿宋" w:cs="仿宋"/>
          <w:sz w:val="24"/>
          <w:highlight w:val="none"/>
          <w:u w:val="single"/>
        </w:rPr>
        <w:t>月</w:t>
      </w:r>
      <w:r>
        <w:rPr>
          <w:rFonts w:hint="eastAsia" w:ascii="仿宋" w:hAnsi="仿宋" w:eastAsia="仿宋" w:cs="仿宋"/>
          <w:sz w:val="24"/>
          <w:highlight w:val="none"/>
          <w:u w:val="single"/>
          <w:lang w:val="en-US" w:eastAsia="zh-CN"/>
        </w:rPr>
        <w:t>4</w:t>
      </w:r>
      <w:r>
        <w:rPr>
          <w:rFonts w:hint="eastAsia" w:ascii="仿宋" w:hAnsi="仿宋" w:eastAsia="仿宋" w:cs="仿宋"/>
          <w:sz w:val="24"/>
          <w:highlight w:val="none"/>
          <w:u w:val="single"/>
        </w:rPr>
        <w:t>日9:</w:t>
      </w:r>
      <w:r>
        <w:rPr>
          <w:rFonts w:hint="eastAsia" w:ascii="仿宋" w:hAnsi="仿宋" w:eastAsia="仿宋" w:cs="仿宋"/>
          <w:sz w:val="24"/>
          <w:u w:val="single"/>
        </w:rPr>
        <w:t>00</w:t>
      </w:r>
    </w:p>
    <w:p>
      <w:pPr>
        <w:spacing w:line="360" w:lineRule="auto"/>
        <w:ind w:firstLine="480" w:firstLineChars="200"/>
        <w:rPr>
          <w:rFonts w:ascii="仿宋" w:hAnsi="仿宋" w:eastAsia="仿宋" w:cs="仿宋"/>
          <w:sz w:val="24"/>
        </w:rPr>
      </w:pPr>
      <w:r>
        <w:rPr>
          <w:rFonts w:hint="eastAsia" w:ascii="仿宋" w:hAnsi="仿宋" w:eastAsia="仿宋" w:cs="仿宋"/>
          <w:sz w:val="24"/>
        </w:rPr>
        <w:t>6、发中标通知书时间：另行通知</w:t>
      </w:r>
    </w:p>
    <w:p>
      <w:pPr>
        <w:spacing w:line="360" w:lineRule="auto"/>
        <w:ind w:firstLine="480" w:firstLineChars="200"/>
        <w:rPr>
          <w:rFonts w:ascii="仿宋" w:hAnsi="仿宋" w:eastAsia="仿宋" w:cs="仿宋"/>
          <w:sz w:val="24"/>
        </w:rPr>
      </w:pPr>
      <w:r>
        <w:rPr>
          <w:rFonts w:hint="eastAsia" w:ascii="仿宋" w:hAnsi="仿宋" w:eastAsia="仿宋" w:cs="仿宋"/>
          <w:sz w:val="24"/>
        </w:rPr>
        <w:t>7、签订合同时间：另行通知</w:t>
      </w:r>
    </w:p>
    <w:p>
      <w:pPr>
        <w:spacing w:line="360" w:lineRule="auto"/>
        <w:ind w:firstLine="480" w:firstLineChars="200"/>
        <w:rPr>
          <w:rFonts w:ascii="仿宋" w:hAnsi="仿宋" w:eastAsia="仿宋" w:cs="仿宋_GB2312"/>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二、招标内容</w:t>
      </w:r>
    </w:p>
    <w:p>
      <w:pPr>
        <w:spacing w:line="360" w:lineRule="auto"/>
        <w:jc w:val="center"/>
        <w:rPr>
          <w:rFonts w:ascii="仿宋" w:hAnsi="仿宋" w:eastAsia="仿宋" w:cs="仿宋_GB2312"/>
          <w:b/>
          <w:sz w:val="24"/>
        </w:rPr>
      </w:pP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1、</w:t>
      </w:r>
      <w:r>
        <w:rPr>
          <w:rFonts w:hint="eastAsia" w:ascii="仿宋" w:hAnsi="仿宋" w:eastAsia="仿宋" w:cs="仿宋_GB2312"/>
          <w:sz w:val="24"/>
          <w:u w:val="single"/>
        </w:rPr>
        <w:t>本次招标的具体内容如下：</w:t>
      </w:r>
    </w:p>
    <w:p>
      <w:pPr>
        <w:spacing w:line="360" w:lineRule="auto"/>
        <w:ind w:firstLine="776" w:firstLineChars="400"/>
        <w:rPr>
          <w:rFonts w:ascii="仿宋" w:hAnsi="仿宋" w:eastAsia="仿宋" w:cs="仿宋_GB2312"/>
          <w:spacing w:val="-23"/>
          <w:sz w:val="24"/>
          <w:u w:val="single"/>
        </w:rPr>
      </w:pPr>
      <w:r>
        <w:rPr>
          <w:rFonts w:hint="eastAsia" w:ascii="仿宋" w:hAnsi="仿宋" w:eastAsia="仿宋" w:cs="仿宋_GB2312"/>
          <w:spacing w:val="-23"/>
          <w:sz w:val="24"/>
          <w:u w:val="single"/>
        </w:rPr>
        <w:t>详见报价单。</w:t>
      </w:r>
    </w:p>
    <w:p>
      <w:pPr>
        <w:spacing w:line="360" w:lineRule="auto"/>
        <w:ind w:firstLine="388" w:firstLineChars="200"/>
        <w:rPr>
          <w:rFonts w:ascii="仿宋" w:hAnsi="仿宋" w:eastAsia="仿宋" w:cs="仿宋_GB2312"/>
          <w:spacing w:val="-23"/>
          <w:sz w:val="24"/>
          <w:u w:val="single"/>
        </w:rPr>
      </w:pPr>
    </w:p>
    <w:p>
      <w:pPr>
        <w:spacing w:line="360" w:lineRule="auto"/>
        <w:ind w:firstLine="482" w:firstLineChars="200"/>
        <w:rPr>
          <w:rFonts w:hint="default" w:ascii="仿宋" w:hAnsi="仿宋" w:eastAsia="仿宋" w:cs="仿宋_GB2312"/>
          <w:b/>
          <w:bCs/>
          <w:sz w:val="24"/>
          <w:lang w:val="en-US" w:eastAsia="zh-CN"/>
        </w:rPr>
      </w:pPr>
      <w:r>
        <w:rPr>
          <w:rFonts w:hint="eastAsia" w:ascii="仿宋" w:hAnsi="仿宋" w:eastAsia="仿宋" w:cs="仿宋_GB2312"/>
          <w:b/>
          <w:bCs/>
          <w:sz w:val="24"/>
        </w:rPr>
        <w:t>说明：</w:t>
      </w:r>
      <w:r>
        <w:rPr>
          <w:rFonts w:hint="eastAsia" w:ascii="仿宋" w:hAnsi="仿宋" w:eastAsia="仿宋" w:cs="仿宋_GB2312"/>
          <w:b/>
          <w:bCs/>
          <w:sz w:val="24"/>
          <w:lang w:val="en-US" w:eastAsia="zh-CN"/>
        </w:rPr>
        <w:t>实际处置数量以2024年度实际发生危废数量为准。</w:t>
      </w:r>
    </w:p>
    <w:p>
      <w:pPr>
        <w:spacing w:line="360" w:lineRule="auto"/>
        <w:ind w:firstLine="482" w:firstLineChars="200"/>
        <w:rPr>
          <w:rFonts w:hint="eastAsia" w:ascii="仿宋" w:hAnsi="仿宋" w:eastAsia="仿宋" w:cs="仿宋_GB2312"/>
          <w:b/>
          <w:bCs/>
          <w:sz w:val="24"/>
        </w:rPr>
      </w:pPr>
    </w:p>
    <w:p>
      <w:pPr>
        <w:spacing w:line="360" w:lineRule="auto"/>
        <w:ind w:firstLine="482" w:firstLineChars="200"/>
        <w:rPr>
          <w:rFonts w:hint="eastAsia" w:ascii="仿宋" w:hAnsi="仿宋" w:eastAsia="仿宋" w:cs="仿宋_GB2312"/>
          <w:b/>
          <w:bCs/>
          <w:sz w:val="24"/>
        </w:rPr>
      </w:pPr>
    </w:p>
    <w:p>
      <w:pPr>
        <w:spacing w:line="360" w:lineRule="auto"/>
        <w:ind w:firstLine="482" w:firstLineChars="200"/>
        <w:rPr>
          <w:rFonts w:hint="eastAsia" w:ascii="仿宋" w:hAnsi="仿宋" w:eastAsia="仿宋" w:cs="仿宋_GB2312"/>
          <w:b/>
          <w:bCs/>
          <w:sz w:val="24"/>
        </w:rPr>
      </w:pPr>
    </w:p>
    <w:p>
      <w:pPr>
        <w:spacing w:line="360" w:lineRule="auto"/>
        <w:ind w:firstLine="482" w:firstLineChars="200"/>
        <w:rPr>
          <w:rFonts w:hint="eastAsia" w:ascii="仿宋" w:hAnsi="仿宋" w:eastAsia="仿宋" w:cs="仿宋_GB2312"/>
          <w:b/>
          <w:bCs/>
          <w:sz w:val="24"/>
        </w:rPr>
      </w:pPr>
    </w:p>
    <w:p>
      <w:pPr>
        <w:spacing w:line="360" w:lineRule="auto"/>
        <w:ind w:firstLine="482" w:firstLineChars="200"/>
        <w:rPr>
          <w:rFonts w:hint="eastAsia" w:ascii="仿宋" w:hAnsi="仿宋" w:eastAsia="仿宋" w:cs="仿宋_GB2312"/>
          <w:b/>
          <w:bCs/>
          <w:sz w:val="24"/>
        </w:rPr>
      </w:pPr>
    </w:p>
    <w:p>
      <w:pPr>
        <w:spacing w:line="360" w:lineRule="auto"/>
        <w:ind w:firstLine="482" w:firstLineChars="200"/>
        <w:rPr>
          <w:rFonts w:hint="eastAsia" w:ascii="仿宋" w:hAnsi="仿宋" w:eastAsia="仿宋" w:cs="仿宋_GB2312"/>
          <w:b/>
          <w:bCs/>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三、投标人资格要求</w:t>
      </w:r>
    </w:p>
    <w:p>
      <w:pPr>
        <w:spacing w:line="360" w:lineRule="auto"/>
        <w:jc w:val="center"/>
        <w:rPr>
          <w:rFonts w:ascii="仿宋" w:hAnsi="仿宋" w:eastAsia="仿宋" w:cs="仿宋_GB2312"/>
          <w:b/>
          <w:sz w:val="24"/>
        </w:rPr>
      </w:pPr>
    </w:p>
    <w:p>
      <w:pPr>
        <w:spacing w:line="360" w:lineRule="auto"/>
        <w:ind w:firstLine="480" w:firstLineChars="200"/>
        <w:rPr>
          <w:rFonts w:hint="eastAsia" w:ascii="仿宋" w:hAnsi="仿宋" w:eastAsia="仿宋" w:cs="仿宋_GB2312"/>
          <w:sz w:val="24"/>
        </w:rPr>
      </w:pPr>
      <w:r>
        <w:rPr>
          <w:rFonts w:hint="eastAsia" w:ascii="仿宋" w:hAnsi="仿宋" w:eastAsia="仿宋" w:cs="仿宋_GB2312"/>
          <w:sz w:val="24"/>
          <w:lang w:val="en-US" w:eastAsia="zh-CN"/>
        </w:rPr>
        <w:t>1、</w:t>
      </w:r>
      <w:r>
        <w:rPr>
          <w:rFonts w:hint="eastAsia" w:ascii="仿宋" w:hAnsi="仿宋" w:eastAsia="仿宋" w:cs="仿宋_GB2312"/>
          <w:sz w:val="24"/>
        </w:rPr>
        <w:t>在中华人民共和国境内依法经国家工商、税务机关登记注册。</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2、投标人须为一般纳税人,开具13%增值税专用发票。</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3、投标人提供的相关资质证件均须在年审有效期内。</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4、有生产经营和安全许可要求的，必须有相应有效的许可证。</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5、投标人近三年无重大失信和违法、违纪行为等不良记录。</w:t>
      </w:r>
    </w:p>
    <w:p>
      <w:pPr>
        <w:spacing w:line="360" w:lineRule="auto"/>
        <w:rPr>
          <w:rFonts w:ascii="仿宋" w:hAnsi="仿宋" w:eastAsia="仿宋" w:cs="仿宋_GB2312"/>
          <w:sz w:val="24"/>
        </w:rPr>
      </w:pPr>
    </w:p>
    <w:p>
      <w:pPr>
        <w:spacing w:line="360" w:lineRule="auto"/>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四、招标公告发布的媒介及招标公告的获取</w:t>
      </w:r>
    </w:p>
    <w:p>
      <w:pPr>
        <w:spacing w:line="360" w:lineRule="auto"/>
        <w:jc w:val="center"/>
        <w:rPr>
          <w:rFonts w:ascii="仿宋" w:hAnsi="仿宋" w:eastAsia="仿宋" w:cs="仿宋_GB2312"/>
          <w:b/>
          <w:sz w:val="24"/>
        </w:rPr>
      </w:pPr>
    </w:p>
    <w:p>
      <w:pPr>
        <w:spacing w:line="360" w:lineRule="auto"/>
        <w:ind w:firstLine="480" w:firstLineChars="200"/>
        <w:jc w:val="left"/>
        <w:rPr>
          <w:rFonts w:ascii="仿宋" w:hAnsi="仿宋" w:eastAsia="仿宋" w:cs="仿宋_GB2312"/>
          <w:sz w:val="24"/>
        </w:rPr>
      </w:pPr>
      <w:r>
        <w:rPr>
          <w:rFonts w:hint="eastAsia" w:ascii="仿宋" w:hAnsi="仿宋" w:eastAsia="仿宋" w:cs="仿宋_GB2312"/>
          <w:sz w:val="24"/>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所有招标信息均以以上网站发布为准，其它任何形式的内容不作为招标投标以及开标评标的依据。</w:t>
      </w:r>
    </w:p>
    <w:p>
      <w:pPr>
        <w:spacing w:line="360" w:lineRule="auto"/>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五、投标报名</w:t>
      </w:r>
    </w:p>
    <w:p>
      <w:pPr>
        <w:spacing w:line="360" w:lineRule="auto"/>
        <w:jc w:val="center"/>
        <w:rPr>
          <w:rFonts w:ascii="仿宋" w:hAnsi="仿宋" w:eastAsia="仿宋" w:cs="仿宋_GB2312"/>
          <w:b/>
          <w:sz w:val="24"/>
        </w:rPr>
      </w:pPr>
    </w:p>
    <w:p>
      <w:pPr>
        <w:spacing w:line="360" w:lineRule="auto"/>
        <w:ind w:firstLine="484" w:firstLineChars="202"/>
        <w:rPr>
          <w:rFonts w:ascii="仿宋" w:hAnsi="仿宋" w:eastAsia="仿宋" w:cs="仿宋_GB2312"/>
          <w:b/>
          <w:bCs/>
          <w:sz w:val="24"/>
        </w:rPr>
      </w:pPr>
      <w:r>
        <w:rPr>
          <w:rFonts w:hint="eastAsia" w:ascii="仿宋" w:hAnsi="仿宋" w:eastAsia="仿宋" w:cs="仿宋_GB2312"/>
          <w:sz w:val="24"/>
        </w:rPr>
        <w:t>1、各投标人须在指定时间前至铜冠建安公司报名，同时通过投标报名的资格审查。</w:t>
      </w:r>
      <w:r>
        <w:rPr>
          <w:rFonts w:hint="eastAsia" w:ascii="仿宋" w:hAnsi="仿宋" w:eastAsia="仿宋" w:cs="仿宋_GB2312"/>
          <w:b/>
          <w:bCs/>
          <w:sz w:val="24"/>
        </w:rPr>
        <w:t>因投标人未在指定要求时间报名或未通过资格审查的视为无效投标。</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2、报名时投标人需提供报名资料。</w:t>
      </w:r>
      <w:r>
        <w:rPr>
          <w:rFonts w:hint="eastAsia" w:ascii="仿宋" w:hAnsi="仿宋" w:eastAsia="仿宋" w:cs="仿宋_GB2312"/>
          <w:sz w:val="24"/>
          <w:u w:val="single"/>
        </w:rPr>
        <w:t>报名资料包括营业执照副本的复印件、法人身份证复印件（经办人不是法人代表的要提供法人代表授权委托书、代理人身份证复印件）</w:t>
      </w:r>
      <w:r>
        <w:rPr>
          <w:rFonts w:hint="eastAsia" w:ascii="仿宋" w:hAnsi="仿宋" w:eastAsia="仿宋" w:cs="仿宋_GB2312"/>
          <w:sz w:val="24"/>
          <w:u w:val="single"/>
          <w:lang w:eastAsia="zh-CN"/>
        </w:rPr>
        <w:t>、</w:t>
      </w:r>
      <w:r>
        <w:rPr>
          <w:rFonts w:hint="eastAsia" w:ascii="仿宋" w:hAnsi="仿宋" w:eastAsia="仿宋" w:cs="仿宋_GB2312"/>
          <w:sz w:val="24"/>
          <w:u w:val="single"/>
          <w:lang w:val="en-US" w:eastAsia="zh-CN"/>
        </w:rPr>
        <w:t>危</w:t>
      </w:r>
      <w:r>
        <w:rPr>
          <w:rFonts w:hint="eastAsia" w:ascii="仿宋" w:hAnsi="仿宋" w:eastAsia="仿宋" w:cs="仿宋_GB2312"/>
          <w:sz w:val="24"/>
          <w:u w:val="single"/>
        </w:rPr>
        <w:t>险品处置许可证（有效期需覆盖2024年度）</w:t>
      </w:r>
      <w:r>
        <w:rPr>
          <w:rFonts w:hint="eastAsia" w:ascii="仿宋" w:hAnsi="仿宋" w:eastAsia="仿宋" w:cs="仿宋_GB2312"/>
          <w:sz w:val="24"/>
          <w:u w:val="single"/>
          <w:lang w:eastAsia="zh-CN"/>
        </w:rPr>
        <w:t>、</w:t>
      </w:r>
      <w:r>
        <w:rPr>
          <w:rFonts w:hint="eastAsia" w:ascii="仿宋" w:hAnsi="仿宋" w:eastAsia="仿宋" w:cs="仿宋_GB2312"/>
          <w:sz w:val="24"/>
          <w:u w:val="single"/>
        </w:rPr>
        <w:t>危险品运输许可证或委托合同等资料，以上资料均须法定代表人逐页签字并加盖公章（原章）。</w:t>
      </w: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3、报名自招标公告发布之日起至</w:t>
      </w:r>
      <w:r>
        <w:rPr>
          <w:rFonts w:hint="eastAsia" w:ascii="仿宋" w:hAnsi="仿宋" w:eastAsia="仿宋" w:cs="仿宋_GB2312"/>
          <w:sz w:val="24"/>
          <w:u w:val="single"/>
        </w:rPr>
        <w:t>202</w:t>
      </w:r>
      <w:r>
        <w:rPr>
          <w:rFonts w:hint="eastAsia" w:ascii="仿宋" w:hAnsi="仿宋" w:eastAsia="仿宋" w:cs="仿宋_GB2312"/>
          <w:sz w:val="24"/>
          <w:u w:val="single"/>
          <w:lang w:val="en-US" w:eastAsia="zh-CN"/>
        </w:rPr>
        <w:t>4</w:t>
      </w:r>
      <w:r>
        <w:rPr>
          <w:rFonts w:hint="eastAsia" w:ascii="仿宋" w:hAnsi="仿宋" w:eastAsia="仿宋" w:cs="仿宋_GB2312"/>
          <w:sz w:val="24"/>
          <w:u w:val="single"/>
        </w:rPr>
        <w:t>年</w:t>
      </w:r>
      <w:r>
        <w:rPr>
          <w:rFonts w:hint="eastAsia" w:ascii="仿宋" w:hAnsi="仿宋" w:eastAsia="仿宋" w:cs="仿宋"/>
          <w:sz w:val="24"/>
          <w:highlight w:val="none"/>
          <w:u w:val="single"/>
        </w:rPr>
        <w:t>1月</w:t>
      </w:r>
      <w:r>
        <w:rPr>
          <w:rFonts w:hint="eastAsia" w:ascii="仿宋" w:hAnsi="仿宋" w:eastAsia="仿宋" w:cs="仿宋"/>
          <w:sz w:val="24"/>
          <w:highlight w:val="none"/>
          <w:u w:val="single"/>
          <w:lang w:val="en-US" w:eastAsia="zh-CN"/>
        </w:rPr>
        <w:t>3</w:t>
      </w:r>
      <w:r>
        <w:rPr>
          <w:rFonts w:hint="eastAsia" w:ascii="仿宋" w:hAnsi="仿宋" w:eastAsia="仿宋" w:cs="仿宋"/>
          <w:sz w:val="24"/>
          <w:highlight w:val="none"/>
          <w:u w:val="single"/>
        </w:rPr>
        <w:t>日</w:t>
      </w:r>
      <w:r>
        <w:rPr>
          <w:rFonts w:hint="eastAsia" w:ascii="仿宋" w:hAnsi="仿宋" w:eastAsia="仿宋" w:cs="仿宋_GB2312"/>
          <w:sz w:val="24"/>
          <w:highlight w:val="none"/>
          <w:u w:val="single"/>
        </w:rPr>
        <w:t>12:0</w:t>
      </w:r>
      <w:r>
        <w:rPr>
          <w:rFonts w:hint="eastAsia" w:ascii="仿宋" w:hAnsi="仿宋" w:eastAsia="仿宋" w:cs="仿宋_GB2312"/>
          <w:sz w:val="24"/>
          <w:u w:val="single"/>
        </w:rPr>
        <w:t>0止</w:t>
      </w: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4、报名地点：</w:t>
      </w:r>
      <w:r>
        <w:rPr>
          <w:rFonts w:hint="eastAsia" w:ascii="仿宋" w:hAnsi="仿宋" w:eastAsia="仿宋" w:cs="仿宋_GB2312"/>
          <w:sz w:val="24"/>
          <w:u w:val="single"/>
        </w:rPr>
        <w:t>铜冠建安公司物资部（黄山大道南段879号主楼四楼）</w:t>
      </w:r>
    </w:p>
    <w:p>
      <w:pPr>
        <w:spacing w:line="560" w:lineRule="exact"/>
        <w:ind w:firstLine="480" w:firstLineChars="200"/>
        <w:rPr>
          <w:rFonts w:ascii="仿宋" w:hAnsi="仿宋" w:eastAsia="仿宋" w:cs="仿宋_GB2312"/>
          <w:b/>
          <w:bCs/>
          <w:sz w:val="32"/>
          <w:szCs w:val="32"/>
          <w:u w:val="single"/>
        </w:rPr>
      </w:pPr>
      <w:r>
        <w:rPr>
          <w:rFonts w:hint="eastAsia" w:ascii="仿宋" w:hAnsi="仿宋" w:eastAsia="仿宋" w:cs="仿宋_GB2312"/>
          <w:sz w:val="24"/>
        </w:rPr>
        <w:t>5、联 系 人：</w:t>
      </w:r>
      <w:r>
        <w:rPr>
          <w:rFonts w:hint="eastAsia" w:ascii="仿宋" w:hAnsi="仿宋" w:eastAsia="仿宋" w:cs="仿宋_GB2312"/>
          <w:sz w:val="24"/>
          <w:lang w:val="en-US" w:eastAsia="zh-CN"/>
        </w:rPr>
        <w:t>何文静（17356041764）</w:t>
      </w:r>
      <w:r>
        <w:rPr>
          <w:rFonts w:hint="eastAsia" w:ascii="仿宋" w:hAnsi="仿宋" w:eastAsia="仿宋" w:cs="仿宋_GB2312"/>
          <w:sz w:val="24"/>
        </w:rPr>
        <w:t>、</w:t>
      </w:r>
      <w:r>
        <w:rPr>
          <w:rFonts w:hint="eastAsia" w:ascii="仿宋" w:hAnsi="仿宋" w:eastAsia="仿宋" w:cs="仿宋_GB2312"/>
          <w:sz w:val="24"/>
          <w:lang w:val="en-US" w:eastAsia="zh-CN"/>
        </w:rPr>
        <w:t>张少雄</w:t>
      </w:r>
      <w:r>
        <w:rPr>
          <w:rFonts w:hint="eastAsia" w:ascii="仿宋" w:hAnsi="仿宋" w:eastAsia="仿宋" w:cs="仿宋_GB2312"/>
          <w:sz w:val="24"/>
        </w:rPr>
        <w:t>（</w:t>
      </w:r>
      <w:r>
        <w:rPr>
          <w:rFonts w:hint="eastAsia" w:ascii="仿宋" w:hAnsi="仿宋" w:eastAsia="仿宋" w:cs="仿宋_GB2312"/>
          <w:sz w:val="24"/>
          <w:lang w:val="en-US" w:eastAsia="zh-CN"/>
        </w:rPr>
        <w:t>17856523755</w:t>
      </w:r>
      <w:r>
        <w:rPr>
          <w:rFonts w:hint="eastAsia" w:ascii="仿宋" w:hAnsi="仿宋" w:eastAsia="仿宋" w:cs="仿宋_GB2312"/>
          <w:sz w:val="24"/>
        </w:rPr>
        <w:t>）</w:t>
      </w: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lang w:val="en-US" w:eastAsia="zh-CN"/>
        </w:rPr>
        <w:t>六</w:t>
      </w:r>
      <w:r>
        <w:rPr>
          <w:rFonts w:hint="eastAsia" w:ascii="仿宋" w:hAnsi="仿宋" w:eastAsia="仿宋" w:cs="仿宋_GB2312"/>
          <w:b/>
          <w:sz w:val="32"/>
          <w:szCs w:val="32"/>
        </w:rPr>
        <w:t>、 投标文件的递交</w:t>
      </w:r>
    </w:p>
    <w:p>
      <w:pPr>
        <w:spacing w:line="360" w:lineRule="auto"/>
        <w:jc w:val="center"/>
        <w:rPr>
          <w:rFonts w:ascii="仿宋" w:hAnsi="仿宋" w:eastAsia="仿宋" w:cs="仿宋_GB2312"/>
          <w:b/>
          <w:sz w:val="24"/>
        </w:rPr>
      </w:pPr>
    </w:p>
    <w:p>
      <w:pPr>
        <w:spacing w:line="360" w:lineRule="auto"/>
        <w:ind w:firstLine="480" w:firstLineChars="200"/>
        <w:rPr>
          <w:rFonts w:ascii="仿宋" w:hAnsi="仿宋" w:eastAsia="仿宋" w:cs="仿宋"/>
          <w:sz w:val="24"/>
          <w:highlight w:val="cyan"/>
          <w:u w:val="single"/>
        </w:rPr>
      </w:pPr>
      <w:r>
        <w:rPr>
          <w:rFonts w:hint="eastAsia" w:ascii="仿宋" w:hAnsi="仿宋" w:eastAsia="仿宋" w:cs="仿宋_GB2312"/>
          <w:sz w:val="24"/>
        </w:rPr>
        <w:t>1、</w:t>
      </w:r>
      <w:r>
        <w:rPr>
          <w:rFonts w:hint="eastAsia" w:ascii="仿宋" w:hAnsi="仿宋" w:eastAsia="仿宋" w:cs="仿宋"/>
          <w:sz w:val="24"/>
        </w:rPr>
        <w:t>投标文件递交的截止时间：</w:t>
      </w:r>
      <w:r>
        <w:rPr>
          <w:rFonts w:hint="eastAsia" w:ascii="仿宋" w:hAnsi="仿宋" w:eastAsia="仿宋" w:cs="仿宋"/>
          <w:sz w:val="24"/>
          <w:u w:val="single"/>
        </w:rPr>
        <w:t>202</w:t>
      </w:r>
      <w:r>
        <w:rPr>
          <w:rFonts w:hint="eastAsia" w:ascii="仿宋" w:hAnsi="仿宋" w:eastAsia="仿宋" w:cs="仿宋"/>
          <w:sz w:val="24"/>
          <w:u w:val="single"/>
          <w:lang w:val="en-US" w:eastAsia="zh-CN"/>
        </w:rPr>
        <w:t>4</w:t>
      </w:r>
      <w:r>
        <w:rPr>
          <w:rFonts w:hint="eastAsia" w:ascii="仿宋" w:hAnsi="仿宋" w:eastAsia="仿宋" w:cs="仿宋"/>
          <w:sz w:val="24"/>
          <w:u w:val="single"/>
        </w:rPr>
        <w:t>年1月</w:t>
      </w:r>
      <w:r>
        <w:rPr>
          <w:rFonts w:hint="eastAsia" w:ascii="仿宋" w:hAnsi="仿宋" w:eastAsia="仿宋" w:cs="仿宋"/>
          <w:sz w:val="24"/>
          <w:highlight w:val="none"/>
          <w:u w:val="single"/>
          <w:lang w:val="en-US" w:eastAsia="zh-CN"/>
        </w:rPr>
        <w:t>3</w:t>
      </w:r>
      <w:r>
        <w:rPr>
          <w:rFonts w:hint="eastAsia" w:ascii="仿宋" w:hAnsi="仿宋" w:eastAsia="仿宋" w:cs="仿宋"/>
          <w:sz w:val="24"/>
          <w:highlight w:val="none"/>
          <w:u w:val="single"/>
        </w:rPr>
        <w:t>日9:</w:t>
      </w:r>
      <w:r>
        <w:rPr>
          <w:rFonts w:hint="eastAsia" w:ascii="仿宋" w:hAnsi="仿宋" w:eastAsia="仿宋" w:cs="仿宋"/>
          <w:sz w:val="24"/>
          <w:u w:val="single"/>
        </w:rPr>
        <w:t>00</w:t>
      </w:r>
    </w:p>
    <w:p>
      <w:pPr>
        <w:spacing w:line="360" w:lineRule="auto"/>
        <w:ind w:firstLine="480" w:firstLineChars="200"/>
        <w:rPr>
          <w:rFonts w:ascii="仿宋" w:hAnsi="仿宋" w:eastAsia="仿宋" w:cs="仿宋"/>
          <w:sz w:val="24"/>
        </w:rPr>
      </w:pPr>
      <w:r>
        <w:rPr>
          <w:rFonts w:hint="eastAsia" w:ascii="仿宋" w:hAnsi="仿宋" w:eastAsia="仿宋" w:cs="仿宋"/>
          <w:sz w:val="24"/>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
          <w:sz w:val="24"/>
          <w:u w:val="single"/>
        </w:rPr>
      </w:pPr>
      <w:r>
        <w:rPr>
          <w:rFonts w:hint="eastAsia" w:ascii="仿宋" w:hAnsi="仿宋" w:eastAsia="仿宋" w:cs="仿宋"/>
          <w:sz w:val="24"/>
        </w:rPr>
        <w:t>3、投标文件收件人：</w:t>
      </w:r>
      <w:r>
        <w:rPr>
          <w:rFonts w:hint="eastAsia" w:ascii="仿宋" w:hAnsi="仿宋" w:eastAsia="仿宋" w:cs="仿宋"/>
          <w:sz w:val="24"/>
          <w:u w:val="single"/>
        </w:rPr>
        <w:t>黄赟（18656211500）</w:t>
      </w:r>
    </w:p>
    <w:p>
      <w:pPr>
        <w:spacing w:line="360" w:lineRule="auto"/>
        <w:ind w:firstLine="480" w:firstLineChars="200"/>
        <w:rPr>
          <w:rFonts w:ascii="仿宋" w:hAnsi="仿宋" w:eastAsia="仿宋" w:cs="仿宋"/>
          <w:b/>
          <w:sz w:val="24"/>
        </w:rPr>
      </w:pPr>
      <w:r>
        <w:rPr>
          <w:rFonts w:hint="eastAsia" w:ascii="仿宋" w:hAnsi="仿宋" w:eastAsia="仿宋" w:cs="仿宋"/>
          <w:sz w:val="24"/>
        </w:rPr>
        <w:t>4、逾期送达的或未按规定送达指定地点的投标文件，招标人不予受理。</w:t>
      </w: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lang w:val="en-US" w:eastAsia="zh-CN"/>
        </w:rPr>
        <w:t>七</w:t>
      </w:r>
      <w:r>
        <w:rPr>
          <w:rFonts w:hint="eastAsia" w:ascii="仿宋" w:hAnsi="仿宋" w:eastAsia="仿宋" w:cs="仿宋_GB2312"/>
          <w:b/>
          <w:sz w:val="32"/>
          <w:szCs w:val="32"/>
        </w:rPr>
        <w:t>、投标人须知</w:t>
      </w:r>
    </w:p>
    <w:p>
      <w:pPr>
        <w:spacing w:line="360" w:lineRule="auto"/>
        <w:jc w:val="center"/>
        <w:rPr>
          <w:rFonts w:ascii="仿宋" w:hAnsi="仿宋" w:eastAsia="仿宋" w:cs="仿宋_GB2312"/>
          <w:b/>
          <w:sz w:val="32"/>
          <w:szCs w:val="32"/>
        </w:rPr>
      </w:pPr>
    </w:p>
    <w:p>
      <w:pPr>
        <w:spacing w:line="360" w:lineRule="auto"/>
        <w:ind w:firstLine="547" w:firstLineChars="228"/>
        <w:rPr>
          <w:rFonts w:hint="eastAsia" w:ascii="仿宋" w:hAnsi="仿宋" w:eastAsia="仿宋" w:cs="仿宋_GB2312"/>
          <w:sz w:val="24"/>
          <w:lang w:val="en-US" w:eastAsia="zh-CN"/>
        </w:rPr>
      </w:pPr>
      <w:r>
        <w:rPr>
          <w:rFonts w:hint="eastAsia" w:ascii="仿宋" w:hAnsi="仿宋" w:eastAsia="仿宋" w:cs="仿宋_GB2312"/>
          <w:sz w:val="24"/>
          <w:lang w:val="en-US" w:eastAsia="zh-CN"/>
        </w:rPr>
        <w:t>1、本次招标服务商资质相关要求</w:t>
      </w:r>
    </w:p>
    <w:p>
      <w:pPr>
        <w:spacing w:line="360" w:lineRule="auto"/>
        <w:ind w:firstLine="547" w:firstLineChars="228"/>
        <w:rPr>
          <w:rFonts w:hint="eastAsia" w:ascii="仿宋" w:hAnsi="仿宋" w:eastAsia="仿宋" w:cs="仿宋_GB2312"/>
          <w:sz w:val="24"/>
          <w:lang w:val="en-US" w:eastAsia="zh-CN"/>
        </w:rPr>
      </w:pPr>
      <w:r>
        <w:rPr>
          <w:rFonts w:hint="eastAsia" w:ascii="仿宋" w:hAnsi="仿宋" w:eastAsia="仿宋" w:cs="仿宋_GB2312"/>
          <w:sz w:val="24"/>
          <w:lang w:val="en-US" w:eastAsia="zh-CN"/>
        </w:rPr>
        <w:t>（1）具有《危险废物经营许可证》（有效期需覆盖2024年度），核准危废类别包括符合国家HW08、HW09、HW12和HW49类处置要求。</w:t>
      </w:r>
    </w:p>
    <w:p>
      <w:pPr>
        <w:spacing w:line="360" w:lineRule="auto"/>
        <w:ind w:firstLine="547" w:firstLineChars="228"/>
        <w:rPr>
          <w:rFonts w:hint="eastAsia" w:ascii="仿宋" w:hAnsi="仿宋" w:eastAsia="仿宋" w:cs="仿宋_GB2312"/>
          <w:sz w:val="24"/>
          <w:lang w:val="en-US" w:eastAsia="zh-CN"/>
        </w:rPr>
      </w:pPr>
      <w:r>
        <w:rPr>
          <w:rFonts w:hint="eastAsia" w:ascii="仿宋" w:hAnsi="仿宋" w:eastAsia="仿宋" w:cs="仿宋_GB2312"/>
          <w:sz w:val="24"/>
          <w:lang w:val="en-US" w:eastAsia="zh-CN"/>
        </w:rPr>
        <w:t>（2）具备危险货物《道路运输经营许可证》</w:t>
      </w:r>
    </w:p>
    <w:p>
      <w:pPr>
        <w:spacing w:line="360" w:lineRule="auto"/>
        <w:ind w:firstLine="547" w:firstLineChars="228"/>
        <w:rPr>
          <w:rFonts w:hint="default" w:ascii="仿宋" w:hAnsi="仿宋" w:eastAsia="仿宋" w:cs="仿宋_GB2312"/>
          <w:sz w:val="24"/>
          <w:lang w:val="en-US" w:eastAsia="zh-CN"/>
        </w:rPr>
      </w:pPr>
      <w:r>
        <w:rPr>
          <w:rFonts w:hint="eastAsia" w:ascii="仿宋" w:hAnsi="仿宋" w:eastAsia="仿宋" w:cs="仿宋_GB2312"/>
          <w:sz w:val="24"/>
          <w:lang w:val="en-US" w:eastAsia="zh-CN"/>
        </w:rPr>
        <w:t>（3）除报价单外，需附带盖有本单位公章的《中华人民共和国道路运输经营许可证》、《营业执照》、《危险废物经营许可证》、投标代理人身份证复印件</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2、</w:t>
      </w:r>
      <w:r>
        <w:rPr>
          <w:rFonts w:hint="eastAsia" w:ascii="仿宋" w:hAnsi="仿宋" w:eastAsia="仿宋" w:cs="仿宋_GB2312"/>
          <w:sz w:val="24"/>
          <w:lang w:val="en-US" w:eastAsia="zh-CN"/>
        </w:rPr>
        <w:t>处理</w:t>
      </w:r>
      <w:r>
        <w:rPr>
          <w:rFonts w:hint="eastAsia" w:ascii="仿宋" w:hAnsi="仿宋" w:eastAsia="仿宋" w:cs="仿宋_GB2312"/>
          <w:sz w:val="24"/>
        </w:rPr>
        <w:t>地点</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lang w:val="en-US" w:eastAsia="zh-CN"/>
        </w:rPr>
        <w:t>铜冠建安产业升级基地危废库</w:t>
      </w:r>
      <w:r>
        <w:rPr>
          <w:rFonts w:hint="eastAsia" w:ascii="仿宋" w:hAnsi="仿宋" w:eastAsia="仿宋" w:cs="仿宋_GB2312"/>
          <w:sz w:val="24"/>
        </w:rPr>
        <w:t>。</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3、运输要求</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本次招标的</w:t>
      </w:r>
      <w:r>
        <w:rPr>
          <w:rFonts w:hint="eastAsia" w:ascii="仿宋" w:hAnsi="仿宋" w:eastAsia="仿宋" w:cs="仿宋_GB2312"/>
          <w:sz w:val="24"/>
          <w:lang w:val="en-US" w:eastAsia="zh-CN"/>
        </w:rPr>
        <w:t>危废</w:t>
      </w:r>
      <w:r>
        <w:rPr>
          <w:rFonts w:hint="eastAsia" w:ascii="仿宋" w:hAnsi="仿宋" w:eastAsia="仿宋" w:cs="仿宋_GB2312"/>
          <w:sz w:val="24"/>
        </w:rPr>
        <w:t>由中标人负责运输。运输过程中未按相关安全、环保等要求所导致的一切安全环保生产事故由中标人承担责任。</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4、报价相关要求</w:t>
      </w:r>
    </w:p>
    <w:p>
      <w:pPr>
        <w:spacing w:line="360" w:lineRule="auto"/>
        <w:ind w:firstLine="480" w:firstLineChars="200"/>
        <w:rPr>
          <w:rFonts w:ascii="仿宋" w:hAnsi="仿宋" w:eastAsia="仿宋" w:cs="仿宋_GB2312"/>
          <w:sz w:val="24"/>
          <w:highlight w:val="green"/>
        </w:rPr>
      </w:pPr>
      <w:r>
        <w:rPr>
          <w:rFonts w:hint="eastAsia" w:ascii="仿宋" w:hAnsi="仿宋" w:eastAsia="仿宋" w:cs="仿宋_GB2312"/>
          <w:sz w:val="24"/>
        </w:rPr>
        <w:t>（1）</w:t>
      </w:r>
      <w:r>
        <w:rPr>
          <w:rFonts w:hint="eastAsia" w:ascii="仿宋" w:hAnsi="仿宋" w:eastAsia="仿宋" w:cs="仿宋_GB2312"/>
          <w:sz w:val="24"/>
          <w:u w:val="single"/>
        </w:rPr>
        <w:t>报价为含税</w:t>
      </w:r>
      <w:r>
        <w:rPr>
          <w:rFonts w:hint="eastAsia" w:ascii="仿宋" w:hAnsi="仿宋" w:eastAsia="仿宋" w:cs="仿宋_GB2312"/>
          <w:color w:val="000000"/>
          <w:sz w:val="24"/>
          <w:u w:val="single"/>
        </w:rPr>
        <w:t>含运费价一票制</w:t>
      </w:r>
      <w:r>
        <w:rPr>
          <w:rFonts w:hint="eastAsia" w:ascii="仿宋" w:hAnsi="仿宋" w:eastAsia="仿宋" w:cs="仿宋_GB2312"/>
          <w:sz w:val="24"/>
          <w:u w:val="single"/>
        </w:rPr>
        <w:t>（税率为13%）</w:t>
      </w:r>
      <w:r>
        <w:rPr>
          <w:rFonts w:hint="eastAsia" w:ascii="仿宋" w:hAnsi="仿宋" w:eastAsia="仿宋" w:cs="仿宋_GB2312"/>
          <w:color w:val="000000"/>
          <w:sz w:val="24"/>
          <w:u w:val="single"/>
        </w:rPr>
        <w:t>。</w:t>
      </w:r>
    </w:p>
    <w:p>
      <w:pPr>
        <w:spacing w:line="360" w:lineRule="auto"/>
        <w:ind w:firstLine="480" w:firstLineChars="200"/>
        <w:rPr>
          <w:rFonts w:ascii="仿宋" w:hAnsi="仿宋" w:eastAsia="仿宋" w:cs="仿宋_GB2312"/>
          <w:color w:val="000000"/>
          <w:sz w:val="24"/>
          <w:u w:val="single"/>
        </w:rPr>
      </w:pPr>
      <w:r>
        <w:rPr>
          <w:rFonts w:hint="eastAsia" w:ascii="仿宋" w:hAnsi="仿宋" w:eastAsia="仿宋" w:cs="仿宋_GB2312"/>
          <w:sz w:val="24"/>
        </w:rPr>
        <w:t>（2）各投标单位在投标报价前应仔细审阅招标公告、报价表及报价说明等与此次报价相关的所有资料。报价要谨慎，一旦中标，视为理解并考虑了我公司一切要求的报价，不得以任何理由变更。</w:t>
      </w:r>
      <w:r>
        <w:rPr>
          <w:rFonts w:hint="eastAsia" w:ascii="仿宋" w:hAnsi="仿宋" w:eastAsia="仿宋" w:cs="仿宋_GB2312"/>
          <w:sz w:val="24"/>
          <w:u w:val="single"/>
        </w:rPr>
        <w:t>后期价格不予调整</w:t>
      </w:r>
      <w:r>
        <w:rPr>
          <w:rFonts w:hint="eastAsia" w:ascii="仿宋" w:hAnsi="仿宋" w:eastAsia="仿宋" w:cs="仿宋_GB2312"/>
          <w:color w:val="000000"/>
          <w:sz w:val="24"/>
          <w:u w:val="single"/>
        </w:rPr>
        <w:t>。</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5、标书相关要求</w:t>
      </w:r>
    </w:p>
    <w:p>
      <w:pPr>
        <w:spacing w:line="360" w:lineRule="auto"/>
        <w:ind w:firstLine="480" w:firstLineChars="200"/>
        <w:rPr>
          <w:rFonts w:ascii="仿宋" w:hAnsi="仿宋" w:eastAsia="仿宋" w:cs="仿宋_GB2312"/>
          <w:b/>
          <w:bCs/>
          <w:sz w:val="24"/>
        </w:rPr>
      </w:pPr>
      <w:r>
        <w:rPr>
          <w:rFonts w:hint="eastAsia" w:ascii="仿宋" w:hAnsi="仿宋" w:eastAsia="仿宋" w:cs="仿宋_GB2312"/>
          <w:sz w:val="24"/>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4"/>
        </w:rPr>
        <w:t>以上事项不符合要求的视为无效投标。</w:t>
      </w:r>
    </w:p>
    <w:p>
      <w:pPr>
        <w:spacing w:line="360" w:lineRule="auto"/>
        <w:ind w:firstLine="480" w:firstLineChars="200"/>
        <w:rPr>
          <w:rFonts w:ascii="仿宋" w:hAnsi="仿宋" w:eastAsia="仿宋" w:cs="仿宋_GB2312"/>
          <w:b/>
          <w:bCs/>
          <w:sz w:val="24"/>
        </w:rPr>
      </w:pPr>
      <w:r>
        <w:rPr>
          <w:rFonts w:hint="eastAsia" w:ascii="仿宋" w:hAnsi="仿宋" w:eastAsia="仿宋" w:cs="仿宋_GB2312"/>
          <w:sz w:val="24"/>
        </w:rPr>
        <w:t>（2）投标文件密封袋封口处应密封完整，加盖投标单位公章，并且注明招标编号及材料名称。因投标人制作、密封、寄送报价文件</w:t>
      </w:r>
      <w:r>
        <w:rPr>
          <w:rFonts w:hint="eastAsia" w:ascii="仿宋" w:hAnsi="仿宋" w:eastAsia="仿宋" w:cs="仿宋_GB2312"/>
          <w:b/>
          <w:bCs/>
          <w:sz w:val="24"/>
        </w:rPr>
        <w:t>不符合要求的视为无效投标。</w:t>
      </w:r>
    </w:p>
    <w:p>
      <w:pPr>
        <w:spacing w:line="360" w:lineRule="auto"/>
        <w:ind w:firstLine="547" w:firstLineChars="228"/>
        <w:rPr>
          <w:rFonts w:ascii="仿宋" w:hAnsi="仿宋" w:eastAsia="仿宋" w:cs="仿宋_GB2312"/>
          <w:b/>
          <w:bCs/>
          <w:sz w:val="24"/>
        </w:rPr>
      </w:pPr>
      <w:r>
        <w:rPr>
          <w:rFonts w:hint="eastAsia" w:ascii="仿宋" w:hAnsi="仿宋" w:eastAsia="仿宋" w:cs="仿宋_GB2312"/>
          <w:sz w:val="24"/>
        </w:rPr>
        <w:t>（3）</w:t>
      </w:r>
      <w:r>
        <w:rPr>
          <w:rFonts w:hint="eastAsia" w:ascii="仿宋" w:hAnsi="仿宋" w:eastAsia="仿宋" w:cs="仿宋_GB2312"/>
          <w:sz w:val="24"/>
          <w:lang w:val="en-US" w:eastAsia="zh-CN"/>
        </w:rPr>
        <w:t>如需缴纳</w:t>
      </w:r>
      <w:r>
        <w:rPr>
          <w:rFonts w:hint="eastAsia" w:ascii="仿宋" w:hAnsi="仿宋" w:eastAsia="仿宋" w:cs="仿宋_GB2312"/>
          <w:sz w:val="24"/>
        </w:rPr>
        <w:t>投标保证金</w:t>
      </w:r>
      <w:r>
        <w:rPr>
          <w:rFonts w:hint="eastAsia" w:ascii="仿宋" w:hAnsi="仿宋" w:eastAsia="仿宋" w:cs="仿宋_GB2312"/>
          <w:sz w:val="24"/>
          <w:lang w:eastAsia="zh-CN"/>
        </w:rPr>
        <w:t>，</w:t>
      </w:r>
      <w:r>
        <w:rPr>
          <w:rFonts w:hint="eastAsia" w:ascii="仿宋" w:hAnsi="仿宋" w:eastAsia="仿宋" w:cs="仿宋_GB2312"/>
          <w:sz w:val="24"/>
        </w:rPr>
        <w:t>汇款凭证复印件必须内附在投标文件中。</w:t>
      </w:r>
      <w:r>
        <w:rPr>
          <w:rFonts w:hint="eastAsia" w:ascii="仿宋" w:hAnsi="仿宋" w:eastAsia="仿宋" w:cs="仿宋_GB2312"/>
          <w:b/>
          <w:bCs/>
          <w:sz w:val="24"/>
        </w:rPr>
        <w:t>无投标保证金或投标保证金汇款凭证复印件未内附在投标文件中的，视为无效投标。</w:t>
      </w:r>
    </w:p>
    <w:p>
      <w:pPr>
        <w:spacing w:line="360" w:lineRule="auto"/>
        <w:ind w:firstLine="484" w:firstLineChars="202"/>
        <w:rPr>
          <w:rFonts w:ascii="仿宋" w:hAnsi="仿宋" w:eastAsia="仿宋" w:cs="仿宋_GB2312"/>
          <w:sz w:val="24"/>
        </w:rPr>
      </w:pPr>
      <w:r>
        <w:rPr>
          <w:rFonts w:hint="eastAsia" w:ascii="仿宋" w:hAnsi="仿宋" w:eastAsia="仿宋" w:cs="仿宋_GB2312"/>
          <w:sz w:val="24"/>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4"/>
        </w:rPr>
        <w:t>以上事项不符合要求的视为无效投标。</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（5）装订要求</w:t>
      </w:r>
    </w:p>
    <w:p>
      <w:pPr>
        <w:spacing w:line="360" w:lineRule="auto"/>
        <w:ind w:firstLine="484" w:firstLineChars="202"/>
        <w:rPr>
          <w:rFonts w:ascii="仿宋" w:hAnsi="仿宋" w:eastAsia="仿宋" w:cs="仿宋_GB2312"/>
          <w:sz w:val="24"/>
        </w:rPr>
      </w:pPr>
      <w:r>
        <w:rPr>
          <w:rFonts w:hint="eastAsia" w:ascii="仿宋" w:hAnsi="仿宋" w:eastAsia="仿宋" w:cs="仿宋_GB2312"/>
          <w:sz w:val="24"/>
          <w:u w:val="single"/>
        </w:rPr>
        <w:t>密封袋封口处应密封严实，并应加盖投标人公章。未按装订要求装订的，招标单位不负责相关保密要求，</w:t>
      </w:r>
      <w:r>
        <w:rPr>
          <w:rFonts w:hint="eastAsia" w:ascii="仿宋" w:hAnsi="仿宋" w:eastAsia="仿宋" w:cs="仿宋_GB2312"/>
          <w:b/>
          <w:bCs/>
          <w:sz w:val="24"/>
          <w:u w:val="single"/>
        </w:rPr>
        <w:t>同时视为无效投标</w:t>
      </w:r>
      <w:r>
        <w:rPr>
          <w:rFonts w:hint="eastAsia" w:ascii="仿宋" w:hAnsi="仿宋" w:eastAsia="仿宋" w:cs="仿宋_GB2312"/>
          <w:sz w:val="24"/>
          <w:u w:val="single"/>
        </w:rPr>
        <w:t>。</w:t>
      </w:r>
    </w:p>
    <w:p>
      <w:pPr>
        <w:numPr>
          <w:ilvl w:val="0"/>
          <w:numId w:val="2"/>
        </w:numPr>
        <w:spacing w:line="360" w:lineRule="auto"/>
        <w:ind w:firstLine="480" w:firstLineChars="200"/>
        <w:rPr>
          <w:rFonts w:ascii="仿宋" w:hAnsi="仿宋" w:eastAsia="仿宋" w:cs="仿宋_GB2312"/>
          <w:sz w:val="24"/>
        </w:rPr>
      </w:pPr>
      <w:r>
        <w:rPr>
          <w:rFonts w:hint="eastAsia" w:ascii="仿宋" w:hAnsi="仿宋" w:eastAsia="仿宋" w:cs="仿宋_GB2312"/>
          <w:sz w:val="24"/>
        </w:rPr>
        <w:t>结算数量</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lang w:val="en-US" w:eastAsia="zh-CN"/>
        </w:rPr>
        <w:t>结算</w:t>
      </w:r>
      <w:r>
        <w:rPr>
          <w:rFonts w:hint="eastAsia" w:ascii="仿宋" w:hAnsi="仿宋" w:eastAsia="仿宋" w:cs="仿宋_GB2312"/>
          <w:sz w:val="24"/>
        </w:rPr>
        <w:t>数量的确认：以</w:t>
      </w:r>
      <w:r>
        <w:rPr>
          <w:rFonts w:hint="eastAsia" w:ascii="仿宋" w:hAnsi="仿宋" w:eastAsia="仿宋" w:cs="仿宋_GB2312"/>
          <w:sz w:val="24"/>
          <w:lang w:val="en-US" w:eastAsia="zh-CN"/>
        </w:rPr>
        <w:t>双方签字确认的数量</w:t>
      </w:r>
      <w:r>
        <w:rPr>
          <w:rFonts w:hint="eastAsia" w:ascii="仿宋" w:hAnsi="仿宋" w:eastAsia="仿宋" w:cs="仿宋_GB2312"/>
          <w:sz w:val="24"/>
        </w:rPr>
        <w:t>为准。</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7、结算价格</w:t>
      </w:r>
    </w:p>
    <w:p>
      <w:pPr>
        <w:spacing w:line="360" w:lineRule="auto"/>
        <w:ind w:firstLine="560"/>
        <w:rPr>
          <w:rFonts w:ascii="仿宋" w:hAnsi="仿宋" w:eastAsia="仿宋" w:cs="仿宋_GB2312"/>
          <w:spacing w:val="-17"/>
          <w:sz w:val="24"/>
          <w:u w:val="single"/>
        </w:rPr>
      </w:pPr>
      <w:r>
        <w:rPr>
          <w:rFonts w:hint="eastAsia" w:ascii="仿宋" w:hAnsi="仿宋" w:eastAsia="仿宋" w:cs="仿宋_GB2312"/>
          <w:sz w:val="24"/>
          <w:u w:val="single"/>
        </w:rPr>
        <w:t>各投标单位报价须谨慎，一旦中标不得以任何理由变更报价</w:t>
      </w:r>
      <w:r>
        <w:rPr>
          <w:rFonts w:hint="eastAsia" w:ascii="仿宋" w:hAnsi="仿宋" w:eastAsia="仿宋" w:cs="仿宋_GB2312"/>
          <w:spacing w:val="-17"/>
          <w:sz w:val="24"/>
          <w:u w:val="single"/>
        </w:rPr>
        <w:t>。</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8、付款方式</w:t>
      </w:r>
    </w:p>
    <w:p>
      <w:pPr>
        <w:spacing w:line="360" w:lineRule="auto"/>
        <w:ind w:firstLine="480" w:firstLineChars="200"/>
        <w:rPr>
          <w:rFonts w:ascii="仿宋" w:hAnsi="仿宋" w:eastAsia="仿宋" w:cs="仿宋_GB2312"/>
          <w:sz w:val="24"/>
        </w:rPr>
      </w:pPr>
      <w:r>
        <w:rPr>
          <w:rFonts w:hint="eastAsia" w:ascii="仿宋" w:hAnsi="仿宋" w:eastAsia="仿宋" w:cs="仿宋_GB2312"/>
          <w:color w:val="000000" w:themeColor="text1"/>
          <w:sz w:val="24"/>
          <w:u w:val="single"/>
          <w14:textFill>
            <w14:solidFill>
              <w14:schemeClr w14:val="tx1"/>
            </w14:solidFill>
          </w14:textFill>
        </w:rPr>
        <w:t>合同签订后，</w:t>
      </w:r>
      <w:r>
        <w:rPr>
          <w:rFonts w:hint="eastAsia" w:ascii="仿宋" w:hAnsi="仿宋" w:eastAsia="仿宋" w:cs="仿宋_GB2312"/>
          <w:color w:val="000000" w:themeColor="text1"/>
          <w:sz w:val="24"/>
          <w:u w:val="single"/>
          <w:lang w:val="en-US" w:eastAsia="zh-CN"/>
          <w14:textFill>
            <w14:solidFill>
              <w14:schemeClr w14:val="tx1"/>
            </w14:solidFill>
          </w14:textFill>
        </w:rPr>
        <w:t>每批次处置完毕经双方核对数量无误后</w:t>
      </w:r>
      <w:r>
        <w:rPr>
          <w:rFonts w:hint="eastAsia" w:ascii="仿宋" w:hAnsi="仿宋" w:eastAsia="仿宋" w:cs="仿宋"/>
          <w:color w:val="000000" w:themeColor="text1"/>
          <w:sz w:val="24"/>
          <w:u w:val="single"/>
          <w14:textFill>
            <w14:solidFill>
              <w14:schemeClr w14:val="tx1"/>
            </w14:solidFill>
          </w14:textFill>
        </w:rPr>
        <w:t>开具</w:t>
      </w:r>
      <w:r>
        <w:rPr>
          <w:rFonts w:hint="eastAsia" w:ascii="仿宋" w:hAnsi="仿宋" w:eastAsia="仿宋" w:cs="仿宋"/>
          <w:color w:val="000000" w:themeColor="text1"/>
          <w:sz w:val="24"/>
          <w:u w:val="single"/>
          <w:lang w:val="en-US" w:eastAsia="zh-CN"/>
          <w14:textFill>
            <w14:solidFill>
              <w14:schemeClr w14:val="tx1"/>
            </w14:solidFill>
          </w14:textFill>
        </w:rPr>
        <w:t>全额</w:t>
      </w:r>
      <w:r>
        <w:rPr>
          <w:rFonts w:hint="eastAsia" w:ascii="仿宋" w:hAnsi="仿宋" w:eastAsia="仿宋" w:cs="仿宋"/>
          <w:color w:val="000000" w:themeColor="text1"/>
          <w:sz w:val="24"/>
          <w:u w:val="single"/>
          <w14:textFill>
            <w14:solidFill>
              <w14:schemeClr w14:val="tx1"/>
            </w14:solidFill>
          </w14:textFill>
        </w:rPr>
        <w:t>发票，</w:t>
      </w:r>
      <w:r>
        <w:rPr>
          <w:rFonts w:hint="eastAsia" w:ascii="仿宋" w:hAnsi="仿宋" w:eastAsia="仿宋" w:cs="仿宋"/>
          <w:color w:val="000000" w:themeColor="text1"/>
          <w:sz w:val="24"/>
          <w:u w:val="single"/>
          <w:lang w:val="en-US" w:eastAsia="zh-CN"/>
          <w14:textFill>
            <w14:solidFill>
              <w14:schemeClr w14:val="tx1"/>
            </w14:solidFill>
          </w14:textFill>
        </w:rPr>
        <w:t>报销入账后</w:t>
      </w:r>
      <w:r>
        <w:rPr>
          <w:rFonts w:hint="eastAsia" w:ascii="仿宋" w:hAnsi="仿宋" w:eastAsia="仿宋" w:cs="仿宋"/>
          <w:color w:val="000000" w:themeColor="text1"/>
          <w:sz w:val="24"/>
          <w:u w:val="single"/>
          <w14:textFill>
            <w14:solidFill>
              <w14:schemeClr w14:val="tx1"/>
            </w14:solidFill>
          </w14:textFill>
        </w:rPr>
        <w:t>次月</w:t>
      </w:r>
      <w:r>
        <w:rPr>
          <w:rFonts w:hint="eastAsia" w:ascii="仿宋" w:hAnsi="仿宋" w:eastAsia="仿宋" w:cs="仿宋"/>
          <w:color w:val="000000" w:themeColor="text1"/>
          <w:sz w:val="24"/>
          <w:u w:val="single"/>
          <w:lang w:val="en-US" w:eastAsia="zh-CN"/>
          <w14:textFill>
            <w14:solidFill>
              <w14:schemeClr w14:val="tx1"/>
            </w14:solidFill>
          </w14:textFill>
        </w:rPr>
        <w:t>一次性</w:t>
      </w:r>
      <w:r>
        <w:rPr>
          <w:rFonts w:hint="eastAsia" w:ascii="仿宋" w:hAnsi="仿宋" w:eastAsia="仿宋" w:cs="仿宋"/>
          <w:color w:val="171A1D"/>
          <w:sz w:val="24"/>
          <w:u w:val="single"/>
          <w:shd w:val="clear" w:color="auto" w:fill="FFFFFF"/>
        </w:rPr>
        <w:t>以对公转账方式支付至</w:t>
      </w:r>
      <w:r>
        <w:rPr>
          <w:rFonts w:hint="eastAsia" w:ascii="仿宋" w:hAnsi="仿宋" w:eastAsia="仿宋" w:cs="仿宋"/>
          <w:color w:val="171A1D"/>
          <w:sz w:val="24"/>
          <w:u w:val="single"/>
          <w:shd w:val="clear" w:color="auto" w:fill="FFFFFF"/>
          <w:lang w:val="en-US" w:eastAsia="zh-CN"/>
        </w:rPr>
        <w:t>中标单位</w:t>
      </w:r>
      <w:r>
        <w:rPr>
          <w:rFonts w:hint="eastAsia" w:ascii="仿宋" w:hAnsi="仿宋" w:eastAsia="仿宋" w:cs="仿宋"/>
          <w:color w:val="171A1D"/>
          <w:sz w:val="24"/>
          <w:u w:val="single"/>
          <w:shd w:val="clear" w:color="auto" w:fill="FFFFFF"/>
        </w:rPr>
        <w:t>方对公账户。</w:t>
      </w:r>
    </w:p>
    <w:p>
      <w:pPr>
        <w:spacing w:line="360" w:lineRule="auto"/>
        <w:jc w:val="both"/>
        <w:rPr>
          <w:rFonts w:ascii="仿宋" w:hAnsi="仿宋" w:eastAsia="仿宋" w:cs="仿宋_GB2312"/>
          <w:b/>
          <w:sz w:val="24"/>
        </w:rPr>
      </w:pP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lang w:val="en-US" w:eastAsia="zh-CN"/>
        </w:rPr>
        <w:t>八</w:t>
      </w:r>
      <w:r>
        <w:rPr>
          <w:rFonts w:hint="eastAsia" w:ascii="仿宋" w:hAnsi="仿宋" w:eastAsia="仿宋" w:cs="仿宋_GB2312"/>
          <w:b/>
          <w:sz w:val="32"/>
          <w:szCs w:val="32"/>
        </w:rPr>
        <w:t>、评标及中标履约要求</w:t>
      </w:r>
    </w:p>
    <w:p>
      <w:pPr>
        <w:spacing w:line="360" w:lineRule="auto"/>
        <w:rPr>
          <w:rFonts w:ascii="仿宋" w:hAnsi="仿宋" w:eastAsia="仿宋" w:cs="仿宋_GB2312"/>
          <w:b/>
          <w:sz w:val="24"/>
        </w:rPr>
      </w:pP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1、评标由铜冠建安公司纪委随机临时确定评委并组建的评标委员会负责。</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2、评标原则：评标活动遵循公平、公正、科学和择优的原则。</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3、评标：</w:t>
      </w:r>
      <w:r>
        <w:rPr>
          <w:rFonts w:hint="eastAsia" w:ascii="仿宋" w:hAnsi="仿宋" w:eastAsia="仿宋" w:cs="仿宋_GB2312"/>
          <w:sz w:val="24"/>
          <w:u w:val="single"/>
        </w:rPr>
        <w:t>本次评标以价格为评标依据，采取“最低价中标法”评标。即以经评委会审核，剔除偏离市场行情较大的恶意报价后的报价进行排序。</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4、中标候选人推荐：</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评标委员会将根据所有投标人的报价选择最低报价的投标单位为预中标单位。</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5、中标通知：招标人以书面形式向中标人发出中标通知书。</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6、招标人和中标人应当自中标通知书发出之日起</w:t>
      </w:r>
      <w:r>
        <w:rPr>
          <w:rFonts w:hint="eastAsia" w:ascii="仿宋" w:hAnsi="仿宋" w:eastAsia="仿宋" w:cs="仿宋_GB2312"/>
          <w:b/>
          <w:bCs/>
          <w:color w:val="C00000"/>
          <w:sz w:val="24"/>
        </w:rPr>
        <w:t>7</w:t>
      </w:r>
      <w:r>
        <w:rPr>
          <w:rFonts w:hint="eastAsia" w:ascii="仿宋" w:hAnsi="仿宋" w:eastAsia="仿宋" w:cs="仿宋_GB2312"/>
          <w:sz w:val="24"/>
        </w:rPr>
        <w:t>日内，按照招标文件和中标人的投标文件订立书面合同，招标人和中标人不得再行订立背离本次招标实质性内容的其他协议。</w:t>
      </w:r>
    </w:p>
    <w:p>
      <w:pPr>
        <w:spacing w:line="360" w:lineRule="auto"/>
        <w:rPr>
          <w:rFonts w:ascii="仿宋" w:hAnsi="仿宋" w:eastAsia="仿宋" w:cs="仿宋_GB2312"/>
          <w:b/>
          <w:sz w:val="24"/>
        </w:rPr>
      </w:pPr>
    </w:p>
    <w:p>
      <w:pPr>
        <w:spacing w:line="360" w:lineRule="auto"/>
        <w:rPr>
          <w:rFonts w:ascii="仿宋" w:hAnsi="仿宋" w:eastAsia="仿宋" w:cs="仿宋_GB2312"/>
          <w:b/>
          <w:sz w:val="24"/>
        </w:rPr>
      </w:pPr>
    </w:p>
    <w:p>
      <w:pPr>
        <w:spacing w:line="360" w:lineRule="auto"/>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lang w:val="en-US" w:eastAsia="zh-CN"/>
        </w:rPr>
        <w:t>九</w:t>
      </w:r>
      <w:r>
        <w:rPr>
          <w:rFonts w:hint="eastAsia" w:ascii="仿宋" w:hAnsi="仿宋" w:eastAsia="仿宋" w:cs="仿宋_GB2312"/>
          <w:b/>
          <w:sz w:val="32"/>
          <w:szCs w:val="32"/>
        </w:rPr>
        <w:t>、纪律和监督</w:t>
      </w:r>
    </w:p>
    <w:p>
      <w:pPr>
        <w:spacing w:line="360" w:lineRule="auto"/>
        <w:ind w:firstLine="480" w:firstLineChars="200"/>
        <w:rPr>
          <w:rFonts w:ascii="仿宋" w:hAnsi="仿宋" w:eastAsia="仿宋" w:cs="仿宋_GB2312"/>
          <w:sz w:val="24"/>
        </w:rPr>
      </w:pP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1、对招标人的纪律要求：招标人不得泄漏招标投标活动中应当保密的情况和资料，不得与投标人串通损害公司利益或者他人合法权益。</w:t>
      </w: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4"/>
          <w:u w:val="single"/>
        </w:rPr>
        <w:t>一经确认将取消其今后参加铜冠建安公司招标的资格，列入供应商黑名单。</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bookmarkStart w:id="0" w:name="_GoBack"/>
      <w:bookmarkEnd w:id="0"/>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2"/>
          <w:szCs w:val="32"/>
        </w:rPr>
        <w:t>十、法定代表人授权书</w:t>
      </w:r>
    </w:p>
    <w:p>
      <w:pPr>
        <w:pStyle w:val="19"/>
        <w:spacing w:line="560" w:lineRule="exact"/>
        <w:rPr>
          <w:rFonts w:ascii="仿宋" w:hAnsi="仿宋" w:eastAsia="仿宋"/>
        </w:rPr>
      </w:pP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Lines="50" w:afterLines="50" w:line="560" w:lineRule="exact"/>
        <w:ind w:firstLine="480" w:firstLineChars="200"/>
        <w:rPr>
          <w:rFonts w:ascii="仿宋" w:hAnsi="仿宋" w:eastAsia="仿宋"/>
          <w:sz w:val="24"/>
        </w:rPr>
      </w:pP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本授权书于______年___月___日签字生效，特此声明。</w:t>
      </w:r>
    </w:p>
    <w:p>
      <w:pPr>
        <w:spacing w:line="560" w:lineRule="exact"/>
        <w:ind w:firstLine="480" w:firstLineChars="200"/>
        <w:rPr>
          <w:rFonts w:hint="eastAsia" w:ascii="仿宋" w:hAnsi="仿宋" w:eastAsia="仿宋" w:cs="仿宋_GB2312"/>
          <w:sz w:val="24"/>
          <w:lang w:val="en-US" w:eastAsia="zh-CN"/>
        </w:rPr>
      </w:pPr>
      <w:r>
        <w:rPr>
          <w:rFonts w:hint="eastAsia" w:ascii="仿宋" w:hAnsi="仿宋" w:eastAsia="仿宋" w:cs="仿宋_GB2312"/>
          <w:sz w:val="24"/>
          <w:lang w:val="en-US" w:eastAsia="zh-CN"/>
        </w:rPr>
        <w:t xml:space="preserve"> </w:t>
      </w: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代理人情况：</w:t>
      </w:r>
    </w:p>
    <w:p>
      <w:pPr>
        <w:spacing w:line="560" w:lineRule="exact"/>
        <w:ind w:firstLine="480" w:firstLineChars="200"/>
        <w:rPr>
          <w:rFonts w:ascii="仿宋" w:hAnsi="仿宋" w:eastAsia="仿宋" w:cs="仿宋_GB2312"/>
          <w:sz w:val="24"/>
        </w:rPr>
      </w:pP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姓名：__________________   身份证号：____________________</w:t>
      </w: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地址：__________________   邮    编：_____________________</w:t>
      </w: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电话：__________________   传    真：_____________________</w:t>
      </w:r>
    </w:p>
    <w:p>
      <w:pPr>
        <w:spacing w:line="560" w:lineRule="exact"/>
        <w:ind w:firstLine="480" w:firstLineChars="200"/>
        <w:rPr>
          <w:rFonts w:ascii="仿宋" w:hAnsi="仿宋" w:eastAsia="仿宋" w:cs="仿宋_GB2312"/>
          <w:sz w:val="24"/>
        </w:rPr>
      </w:pPr>
    </w:p>
    <w:p>
      <w:pPr>
        <w:spacing w:line="560" w:lineRule="exact"/>
        <w:ind w:firstLine="4800" w:firstLineChars="2000"/>
        <w:rPr>
          <w:rFonts w:ascii="仿宋" w:hAnsi="仿宋" w:eastAsia="仿宋" w:cs="仿宋_GB2312"/>
          <w:sz w:val="24"/>
        </w:rPr>
      </w:pPr>
      <w:r>
        <w:rPr>
          <w:rFonts w:hint="eastAsia" w:ascii="仿宋" w:hAnsi="仿宋" w:eastAsia="仿宋" w:cs="仿宋_GB2312"/>
          <w:sz w:val="24"/>
        </w:rPr>
        <w:t>法定代表人签字：</w:t>
      </w:r>
    </w:p>
    <w:p>
      <w:pPr>
        <w:spacing w:line="560" w:lineRule="exact"/>
        <w:ind w:firstLine="4800" w:firstLineChars="2000"/>
        <w:rPr>
          <w:rFonts w:ascii="仿宋" w:hAnsi="仿宋" w:eastAsia="仿宋" w:cs="仿宋_GB2312"/>
          <w:sz w:val="24"/>
        </w:rPr>
      </w:pPr>
      <w:r>
        <w:rPr>
          <w:rFonts w:hint="eastAsia" w:ascii="仿宋" w:hAnsi="仿宋" w:eastAsia="仿宋" w:cs="仿宋_GB2312"/>
          <w:sz w:val="24"/>
        </w:rPr>
        <w:t>单  位  盖  章：</w:t>
      </w:r>
    </w:p>
    <w:p>
      <w:pPr>
        <w:spacing w:line="560" w:lineRule="exact"/>
        <w:ind w:firstLine="480" w:firstLineChars="200"/>
        <w:rPr>
          <w:rFonts w:ascii="仿宋" w:hAnsi="仿宋" w:eastAsia="仿宋" w:cs="仿宋_GB2312"/>
          <w:sz w:val="24"/>
        </w:rPr>
      </w:pPr>
    </w:p>
    <w:p>
      <w:pPr>
        <w:spacing w:line="560" w:lineRule="exact"/>
        <w:ind w:firstLine="6240" w:firstLineChars="2600"/>
        <w:rPr>
          <w:rFonts w:ascii="仿宋" w:hAnsi="仿宋" w:eastAsia="仿宋" w:cs="仿宋_GB2312"/>
          <w:sz w:val="28"/>
          <w:szCs w:val="28"/>
        </w:rPr>
      </w:pPr>
      <w:r>
        <w:rPr>
          <w:rFonts w:hint="eastAsia" w:ascii="仿宋" w:hAnsi="仿宋" w:eastAsia="仿宋" w:cs="仿宋_GB2312"/>
          <w:sz w:val="24"/>
        </w:rPr>
        <w:t>年  月  日</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bCs/>
          <w:sz w:val="36"/>
          <w:szCs w:val="36"/>
        </w:rPr>
      </w:pPr>
      <w:r>
        <w:rPr>
          <w:rFonts w:hint="eastAsia" w:ascii="仿宋" w:hAnsi="仿宋" w:eastAsia="仿宋" w:cs="仿宋_GB2312"/>
          <w:b/>
          <w:sz w:val="32"/>
          <w:szCs w:val="32"/>
        </w:rPr>
        <w:t>十</w:t>
      </w:r>
      <w:r>
        <w:rPr>
          <w:rFonts w:hint="eastAsia" w:ascii="仿宋" w:hAnsi="仿宋" w:eastAsia="仿宋" w:cs="仿宋_GB2312"/>
          <w:b/>
          <w:sz w:val="32"/>
          <w:szCs w:val="32"/>
          <w:lang w:val="en-US" w:eastAsia="zh-CN"/>
        </w:rPr>
        <w:t>一</w:t>
      </w:r>
      <w:r>
        <w:rPr>
          <w:rFonts w:hint="eastAsia" w:ascii="仿宋" w:hAnsi="仿宋" w:eastAsia="仿宋" w:cs="仿宋_GB2312"/>
          <w:b/>
          <w:sz w:val="32"/>
          <w:szCs w:val="32"/>
        </w:rPr>
        <w:t>、投标廉洁</w:t>
      </w:r>
      <w:r>
        <w:rPr>
          <w:rFonts w:hint="eastAsia" w:ascii="仿宋" w:hAnsi="仿宋" w:eastAsia="仿宋" w:cs="仿宋_GB2312"/>
          <w:b/>
          <w:bCs/>
          <w:sz w:val="32"/>
          <w:szCs w:val="32"/>
        </w:rPr>
        <w:t>承诺书</w:t>
      </w:r>
    </w:p>
    <w:p>
      <w:pPr>
        <w:spacing w:line="560" w:lineRule="exact"/>
        <w:ind w:firstLine="560" w:firstLineChars="200"/>
        <w:rPr>
          <w:rFonts w:ascii="仿宋" w:hAnsi="仿宋" w:eastAsia="仿宋" w:cs="仿宋_GB2312"/>
          <w:sz w:val="28"/>
          <w:szCs w:val="28"/>
        </w:rPr>
      </w:pPr>
    </w:p>
    <w:p>
      <w:pPr>
        <w:spacing w:line="560" w:lineRule="exact"/>
        <w:ind w:firstLine="480" w:firstLineChars="200"/>
        <w:rPr>
          <w:rFonts w:ascii="仿宋" w:hAnsi="仿宋" w:eastAsia="仿宋" w:cs="仿宋_GB2312"/>
          <w:b/>
          <w:bCs/>
          <w:sz w:val="24"/>
        </w:rPr>
      </w:pPr>
      <w:r>
        <w:rPr>
          <w:rFonts w:hint="eastAsia" w:ascii="仿宋" w:hAnsi="仿宋" w:eastAsia="仿宋" w:cs="仿宋_GB2312"/>
          <w:sz w:val="24"/>
        </w:rPr>
        <w:t>我单位于年月日参与</w:t>
      </w:r>
      <w:r>
        <w:rPr>
          <w:rFonts w:hint="eastAsia" w:ascii="仿宋" w:hAnsi="仿宋" w:eastAsia="仿宋" w:cs="仿宋_GB2312"/>
          <w:sz w:val="24"/>
          <w:u w:val="single"/>
        </w:rPr>
        <w:t>（招标编号）</w:t>
      </w:r>
      <w:r>
        <w:rPr>
          <w:rFonts w:hint="eastAsia" w:ascii="仿宋" w:hAnsi="仿宋" w:eastAsia="仿宋" w:cs="仿宋_GB2312"/>
          <w:sz w:val="24"/>
        </w:rPr>
        <w:t>的</w:t>
      </w:r>
      <w:r>
        <w:rPr>
          <w:rFonts w:hint="eastAsia" w:ascii="仿宋" w:hAnsi="仿宋" w:eastAsia="仿宋" w:cs="仿宋_GB2312"/>
          <w:sz w:val="24"/>
          <w:u w:val="single"/>
        </w:rPr>
        <w:t>（招标产品）</w:t>
      </w:r>
      <w:r>
        <w:rPr>
          <w:rFonts w:hint="eastAsia" w:ascii="仿宋" w:hAnsi="仿宋" w:eastAsia="仿宋" w:cs="仿宋_GB2312"/>
          <w:sz w:val="24"/>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60" w:lineRule="exact"/>
        <w:ind w:firstLine="480" w:firstLineChars="200"/>
        <w:jc w:val="left"/>
        <w:rPr>
          <w:rFonts w:ascii="仿宋" w:hAnsi="仿宋" w:eastAsia="仿宋" w:cs="仿宋_GB2312"/>
          <w:sz w:val="24"/>
        </w:rPr>
      </w:pPr>
      <w:r>
        <w:rPr>
          <w:rFonts w:hint="eastAsia" w:ascii="仿宋" w:hAnsi="仿宋" w:eastAsia="仿宋" w:cs="仿宋_GB2312"/>
          <w:sz w:val="24"/>
        </w:rPr>
        <w:t>承诺不相互串通投标或者与招标人串通投标；</w:t>
      </w:r>
    </w:p>
    <w:p>
      <w:pPr>
        <w:widowControl/>
        <w:numPr>
          <w:ilvl w:val="0"/>
          <w:numId w:val="3"/>
        </w:numPr>
        <w:spacing w:line="560" w:lineRule="exact"/>
        <w:ind w:firstLine="480" w:firstLineChars="200"/>
        <w:jc w:val="left"/>
        <w:rPr>
          <w:rFonts w:ascii="仿宋" w:hAnsi="仿宋" w:eastAsia="仿宋" w:cs="仿宋_GB2312"/>
          <w:sz w:val="24"/>
        </w:rPr>
      </w:pPr>
      <w:r>
        <w:rPr>
          <w:rFonts w:hint="eastAsia" w:ascii="仿宋" w:hAnsi="仿宋" w:eastAsia="仿宋" w:cs="仿宋_GB2312"/>
          <w:sz w:val="24"/>
        </w:rPr>
        <w:t>不向招标人或者评标委员会成员行贿谋取中标；</w:t>
      </w:r>
    </w:p>
    <w:p>
      <w:pPr>
        <w:widowControl/>
        <w:numPr>
          <w:ilvl w:val="0"/>
          <w:numId w:val="3"/>
        </w:numPr>
        <w:spacing w:line="560" w:lineRule="exact"/>
        <w:ind w:firstLine="480" w:firstLineChars="200"/>
        <w:jc w:val="left"/>
        <w:rPr>
          <w:rFonts w:ascii="仿宋" w:hAnsi="仿宋" w:eastAsia="仿宋" w:cs="仿宋_GB2312"/>
          <w:sz w:val="24"/>
        </w:rPr>
      </w:pPr>
      <w:r>
        <w:rPr>
          <w:rFonts w:hint="eastAsia" w:ascii="仿宋" w:hAnsi="仿宋" w:eastAsia="仿宋" w:cs="仿宋_GB2312"/>
          <w:sz w:val="24"/>
        </w:rPr>
        <w:t>不以他人名义投标或者以其他方式弄虚作假骗取中标；</w:t>
      </w:r>
    </w:p>
    <w:p>
      <w:pPr>
        <w:widowControl/>
        <w:numPr>
          <w:ilvl w:val="0"/>
          <w:numId w:val="3"/>
        </w:numPr>
        <w:spacing w:line="560" w:lineRule="exact"/>
        <w:ind w:firstLine="480" w:firstLineChars="200"/>
        <w:jc w:val="left"/>
        <w:rPr>
          <w:rFonts w:ascii="仿宋" w:hAnsi="仿宋" w:eastAsia="仿宋" w:cs="仿宋_GB2312"/>
          <w:sz w:val="24"/>
        </w:rPr>
      </w:pPr>
      <w:r>
        <w:rPr>
          <w:rFonts w:hint="eastAsia" w:ascii="仿宋" w:hAnsi="仿宋" w:eastAsia="仿宋" w:cs="仿宋_GB2312"/>
          <w:sz w:val="24"/>
        </w:rPr>
        <w:t>承诺不向招标人及有关人员提供任何形式的财、物及请吃消费；</w:t>
      </w:r>
    </w:p>
    <w:p>
      <w:pPr>
        <w:widowControl/>
        <w:numPr>
          <w:ilvl w:val="0"/>
          <w:numId w:val="3"/>
        </w:numPr>
        <w:spacing w:line="560" w:lineRule="exact"/>
        <w:ind w:firstLine="480" w:firstLineChars="200"/>
        <w:jc w:val="left"/>
        <w:rPr>
          <w:rFonts w:ascii="仿宋" w:hAnsi="仿宋" w:eastAsia="仿宋" w:cs="仿宋_GB2312"/>
          <w:color w:val="000000"/>
          <w:sz w:val="24"/>
        </w:rPr>
      </w:pPr>
      <w:r>
        <w:rPr>
          <w:rFonts w:hint="eastAsia" w:ascii="仿宋" w:hAnsi="仿宋" w:eastAsia="仿宋" w:cs="仿宋_GB2312"/>
          <w:sz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60" w:lineRule="exact"/>
        <w:ind w:firstLine="480" w:firstLineChars="200"/>
        <w:rPr>
          <w:rFonts w:ascii="仿宋" w:hAnsi="仿宋" w:eastAsia="仿宋" w:cs="仿宋_GB2312"/>
          <w:color w:val="000000"/>
          <w:sz w:val="24"/>
          <w:u w:val="single"/>
        </w:rPr>
      </w:pPr>
    </w:p>
    <w:p>
      <w:pPr>
        <w:spacing w:line="560" w:lineRule="exact"/>
        <w:ind w:firstLine="4560" w:firstLineChars="1900"/>
        <w:rPr>
          <w:rFonts w:ascii="仿宋" w:hAnsi="仿宋" w:eastAsia="仿宋" w:cs="仿宋_GB2312"/>
          <w:sz w:val="24"/>
        </w:rPr>
      </w:pPr>
    </w:p>
    <w:p>
      <w:pPr>
        <w:spacing w:line="560" w:lineRule="exact"/>
        <w:ind w:firstLine="4578" w:firstLineChars="2100"/>
        <w:rPr>
          <w:rFonts w:ascii="仿宋" w:hAnsi="仿宋" w:eastAsia="仿宋" w:cs="仿宋_GB2312"/>
          <w:sz w:val="24"/>
        </w:rPr>
      </w:pPr>
      <w:r>
        <w:rPr>
          <w:rFonts w:hint="eastAsia" w:ascii="仿宋" w:hAnsi="仿宋" w:eastAsia="仿宋" w:cs="仿宋_GB2312"/>
          <w:spacing w:val="-11"/>
          <w:sz w:val="24"/>
        </w:rPr>
        <w:t xml:space="preserve">承诺方签字 </w:t>
      </w:r>
      <w:r>
        <w:rPr>
          <w:rFonts w:hint="eastAsia" w:ascii="仿宋" w:hAnsi="仿宋" w:eastAsia="仿宋" w:cs="仿宋_GB2312"/>
          <w:b/>
          <w:bCs/>
          <w:sz w:val="24"/>
        </w:rPr>
        <w:t>:</w:t>
      </w:r>
    </w:p>
    <w:p>
      <w:pPr>
        <w:spacing w:line="560" w:lineRule="exact"/>
        <w:ind w:firstLine="4578" w:firstLineChars="2100"/>
        <w:rPr>
          <w:rFonts w:ascii="仿宋" w:hAnsi="仿宋" w:eastAsia="仿宋" w:cs="仿宋_GB2312"/>
          <w:sz w:val="24"/>
        </w:rPr>
      </w:pPr>
      <w:r>
        <w:rPr>
          <w:rFonts w:hint="eastAsia" w:ascii="仿宋" w:hAnsi="仿宋" w:eastAsia="仿宋" w:cs="仿宋_GB2312"/>
          <w:spacing w:val="-11"/>
          <w:sz w:val="24"/>
        </w:rPr>
        <w:t>单 位 盖 章</w:t>
      </w:r>
      <w:r>
        <w:rPr>
          <w:rFonts w:hint="eastAsia" w:ascii="仿宋" w:hAnsi="仿宋" w:eastAsia="仿宋" w:cs="仿宋_GB2312"/>
          <w:sz w:val="24"/>
        </w:rPr>
        <w:t xml:space="preserve">：                    </w:t>
      </w:r>
    </w:p>
    <w:p>
      <w:pPr>
        <w:spacing w:line="560" w:lineRule="exact"/>
        <w:ind w:firstLine="4578" w:firstLineChars="2100"/>
        <w:rPr>
          <w:rFonts w:ascii="仿宋" w:hAnsi="仿宋" w:eastAsia="仿宋" w:cs="仿宋_GB2312"/>
          <w:sz w:val="28"/>
          <w:szCs w:val="28"/>
        </w:rPr>
      </w:pPr>
      <w:r>
        <w:rPr>
          <w:rFonts w:hint="eastAsia" w:ascii="仿宋" w:hAnsi="仿宋" w:eastAsia="仿宋" w:cs="仿宋_GB2312"/>
          <w:spacing w:val="-11"/>
          <w:sz w:val="24"/>
        </w:rPr>
        <w:t>日       期：</w:t>
      </w:r>
    </w:p>
    <w:p>
      <w:pPr>
        <w:spacing w:line="560" w:lineRule="exact"/>
        <w:rPr>
          <w:rFonts w:ascii="仿宋" w:hAnsi="仿宋" w:eastAsia="仿宋" w:cs="仿宋_GB2312"/>
          <w:b/>
          <w:sz w:val="36"/>
          <w:szCs w:val="36"/>
        </w:rPr>
        <w:sectPr>
          <w:headerReference r:id="rId6" w:type="default"/>
          <w:footerReference r:id="rId7" w:type="default"/>
          <w:pgSz w:w="11906" w:h="16838"/>
          <w:pgMar w:top="1417" w:right="1417" w:bottom="1417" w:left="1417" w:header="851" w:footer="273" w:gutter="284"/>
          <w:cols w:space="720" w:num="1"/>
          <w:docGrid w:type="lines" w:linePitch="312" w:charSpace="0"/>
        </w:sectPr>
      </w:pPr>
    </w:p>
    <w:p>
      <w:pPr>
        <w:spacing w:line="400" w:lineRule="exact"/>
        <w:jc w:val="center"/>
        <w:rPr>
          <w:rFonts w:ascii="仿宋" w:hAnsi="仿宋" w:eastAsia="仿宋"/>
          <w:b/>
          <w:sz w:val="28"/>
          <w:szCs w:val="28"/>
        </w:rPr>
      </w:pPr>
      <w:r>
        <w:rPr>
          <w:rFonts w:hint="eastAsia" w:ascii="仿宋" w:hAnsi="仿宋" w:eastAsia="仿宋" w:cs="仿宋_GB2312"/>
          <w:b/>
          <w:sz w:val="32"/>
          <w:szCs w:val="32"/>
        </w:rPr>
        <w:t>十</w:t>
      </w:r>
      <w:r>
        <w:rPr>
          <w:rFonts w:hint="eastAsia" w:ascii="仿宋" w:hAnsi="仿宋" w:eastAsia="仿宋" w:cs="仿宋_GB2312"/>
          <w:b/>
          <w:sz w:val="32"/>
          <w:szCs w:val="32"/>
          <w:lang w:val="en-US" w:eastAsia="zh-CN"/>
        </w:rPr>
        <w:t>二</w:t>
      </w:r>
      <w:r>
        <w:rPr>
          <w:rFonts w:hint="eastAsia" w:ascii="仿宋" w:hAnsi="仿宋" w:eastAsia="仿宋" w:cs="仿宋_GB2312"/>
          <w:b/>
          <w:sz w:val="32"/>
          <w:szCs w:val="32"/>
        </w:rPr>
        <w:t>、报价单</w:t>
      </w:r>
    </w:p>
    <w:p>
      <w:pPr>
        <w:spacing w:line="400" w:lineRule="exact"/>
        <w:rPr>
          <w:rFonts w:ascii="仿宋" w:hAnsi="仿宋" w:eastAsia="仿宋"/>
          <w:b/>
          <w:sz w:val="24"/>
        </w:rPr>
      </w:pPr>
      <w:r>
        <w:rPr>
          <w:rFonts w:hint="eastAsia" w:ascii="仿宋" w:hAnsi="仿宋" w:eastAsia="仿宋"/>
          <w:b/>
          <w:sz w:val="24"/>
        </w:rPr>
        <w:t>报价单（TGJA-WZ-2023</w:t>
      </w:r>
      <w:r>
        <w:rPr>
          <w:rFonts w:hint="eastAsia" w:ascii="仿宋" w:hAnsi="仿宋" w:eastAsia="仿宋"/>
          <w:b/>
          <w:sz w:val="24"/>
          <w:highlight w:val="none"/>
          <w:lang w:val="en-US" w:eastAsia="zh-CN"/>
        </w:rPr>
        <w:t>184</w:t>
      </w:r>
      <w:r>
        <w:rPr>
          <w:rFonts w:hint="eastAsia" w:ascii="仿宋" w:hAnsi="仿宋" w:eastAsia="仿宋"/>
          <w:b/>
          <w:sz w:val="24"/>
        </w:rPr>
        <w:t>）</w:t>
      </w:r>
    </w:p>
    <w:tbl>
      <w:tblPr>
        <w:tblStyle w:val="4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4"/>
        <w:gridCol w:w="1683"/>
        <w:gridCol w:w="1949"/>
        <w:gridCol w:w="1298"/>
        <w:gridCol w:w="651"/>
        <w:gridCol w:w="1609"/>
        <w:gridCol w:w="3375"/>
        <w:gridCol w:w="1013"/>
        <w:gridCol w:w="1571"/>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6" w:type="pct"/>
            <w:vAlign w:val="center"/>
          </w:tcPr>
          <w:p>
            <w:pPr>
              <w:jc w:val="center"/>
              <w:rPr>
                <w:rFonts w:ascii="仿宋" w:hAnsi="仿宋" w:eastAsia="仿宋"/>
                <w:sz w:val="24"/>
              </w:rPr>
            </w:pPr>
            <w:r>
              <w:rPr>
                <w:rFonts w:hint="eastAsia" w:ascii="仿宋" w:hAnsi="仿宋" w:eastAsia="仿宋" w:cs="仿宋"/>
                <w:sz w:val="24"/>
              </w:rPr>
              <w:t>序号</w:t>
            </w:r>
          </w:p>
        </w:tc>
        <w:tc>
          <w:tcPr>
            <w:tcW w:w="525" w:type="pct"/>
            <w:vAlign w:val="center"/>
          </w:tcPr>
          <w:p>
            <w:pPr>
              <w:jc w:val="center"/>
              <w:rPr>
                <w:rFonts w:ascii="仿宋" w:hAnsi="仿宋" w:eastAsia="仿宋"/>
                <w:sz w:val="24"/>
              </w:rPr>
            </w:pPr>
            <w:r>
              <w:rPr>
                <w:rFonts w:hint="eastAsia" w:ascii="仿宋" w:hAnsi="仿宋" w:eastAsia="仿宋" w:cs="仿宋"/>
                <w:sz w:val="24"/>
                <w:lang w:val="en-US" w:eastAsia="zh-CN"/>
              </w:rPr>
              <w:t>废物</w:t>
            </w:r>
            <w:r>
              <w:rPr>
                <w:rFonts w:hint="eastAsia" w:ascii="仿宋" w:hAnsi="仿宋" w:eastAsia="仿宋" w:cs="仿宋"/>
                <w:sz w:val="24"/>
              </w:rPr>
              <w:t>名称</w:t>
            </w:r>
          </w:p>
        </w:tc>
        <w:tc>
          <w:tcPr>
            <w:tcW w:w="608" w:type="pct"/>
            <w:vAlign w:val="center"/>
          </w:tcPr>
          <w:p>
            <w:pPr>
              <w:jc w:val="center"/>
              <w:rPr>
                <w:rFonts w:hint="default" w:ascii="仿宋" w:hAnsi="仿宋" w:eastAsia="仿宋"/>
                <w:sz w:val="24"/>
                <w:lang w:val="en-US" w:eastAsia="zh-CN"/>
              </w:rPr>
            </w:pPr>
            <w:r>
              <w:rPr>
                <w:rFonts w:hint="eastAsia" w:ascii="仿宋" w:hAnsi="仿宋" w:eastAsia="仿宋" w:cs="仿宋"/>
                <w:sz w:val="24"/>
                <w:lang w:val="en-US" w:eastAsia="zh-CN"/>
              </w:rPr>
              <w:t>废物编号</w:t>
            </w:r>
          </w:p>
        </w:tc>
        <w:tc>
          <w:tcPr>
            <w:tcW w:w="608" w:type="pct"/>
            <w:gridSpan w:val="2"/>
            <w:vAlign w:val="center"/>
          </w:tcPr>
          <w:p>
            <w:pPr>
              <w:jc w:val="center"/>
              <w:rPr>
                <w:rFonts w:hint="default" w:ascii="仿宋" w:hAnsi="仿宋" w:eastAsia="仿宋" w:cs="仿宋"/>
                <w:sz w:val="24"/>
                <w:lang w:val="en-US" w:eastAsia="zh-CN"/>
              </w:rPr>
            </w:pPr>
            <w:r>
              <w:rPr>
                <w:rFonts w:hint="eastAsia" w:ascii="仿宋" w:hAnsi="仿宋" w:eastAsia="仿宋" w:cs="仿宋"/>
                <w:sz w:val="24"/>
                <w:lang w:val="en-US" w:eastAsia="zh-CN"/>
              </w:rPr>
              <w:t>废物代码</w:t>
            </w:r>
          </w:p>
        </w:tc>
        <w:tc>
          <w:tcPr>
            <w:tcW w:w="502" w:type="pct"/>
            <w:vAlign w:val="center"/>
          </w:tcPr>
          <w:p>
            <w:pPr>
              <w:jc w:val="center"/>
              <w:rPr>
                <w:rFonts w:hint="default" w:ascii="仿宋" w:hAnsi="仿宋" w:eastAsia="仿宋"/>
                <w:sz w:val="24"/>
                <w:lang w:val="en-US"/>
              </w:rPr>
            </w:pPr>
            <w:r>
              <w:rPr>
                <w:rFonts w:hint="eastAsia" w:ascii="仿宋" w:hAnsi="仿宋" w:eastAsia="仿宋" w:cs="仿宋"/>
                <w:sz w:val="24"/>
              </w:rPr>
              <w:t>＊</w:t>
            </w:r>
            <w:r>
              <w:rPr>
                <w:rFonts w:hint="eastAsia" w:ascii="仿宋" w:hAnsi="仿宋" w:eastAsia="仿宋" w:cs="仿宋"/>
                <w:sz w:val="24"/>
                <w:lang w:val="en-US" w:eastAsia="zh-CN"/>
              </w:rPr>
              <w:t>含税价格（元/吨）</w:t>
            </w:r>
          </w:p>
        </w:tc>
        <w:tc>
          <w:tcPr>
            <w:tcW w:w="1053" w:type="pct"/>
            <w:vAlign w:val="center"/>
          </w:tcPr>
          <w:p>
            <w:pPr>
              <w:jc w:val="center"/>
              <w:rPr>
                <w:rFonts w:ascii="仿宋" w:hAnsi="仿宋" w:eastAsia="仿宋"/>
                <w:sz w:val="24"/>
              </w:rPr>
            </w:pPr>
            <w:r>
              <w:rPr>
                <w:rFonts w:hint="eastAsia" w:ascii="仿宋" w:hAnsi="仿宋" w:eastAsia="仿宋" w:cs="仿宋"/>
                <w:sz w:val="24"/>
              </w:rPr>
              <w:t>＊税率（注明税率及是否为增值税专业发票）</w:t>
            </w:r>
          </w:p>
        </w:tc>
        <w:tc>
          <w:tcPr>
            <w:tcW w:w="1524" w:type="pct"/>
            <w:gridSpan w:val="3"/>
            <w:vAlign w:val="center"/>
          </w:tcPr>
          <w:p>
            <w:pPr>
              <w:jc w:val="center"/>
              <w:rPr>
                <w:rFonts w:ascii="仿宋" w:hAnsi="仿宋" w:eastAsia="仿宋"/>
                <w:sz w:val="24"/>
              </w:rPr>
            </w:pPr>
            <w:r>
              <w:rPr>
                <w:rFonts w:hint="eastAsia" w:ascii="仿宋" w:hAnsi="仿宋" w:eastAsia="仿宋" w:cs="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6" w:type="pct"/>
            <w:vAlign w:val="center"/>
          </w:tcPr>
          <w:p>
            <w:pPr>
              <w:jc w:val="center"/>
              <w:rPr>
                <w:rFonts w:hint="eastAsia" w:ascii="仿宋" w:hAnsi="仿宋" w:eastAsia="仿宋" w:cs="仿宋"/>
                <w:sz w:val="24"/>
              </w:rPr>
            </w:pPr>
            <w:r>
              <w:rPr>
                <w:rFonts w:hint="eastAsia" w:ascii="仿宋" w:hAnsi="仿宋" w:eastAsia="仿宋" w:cs="仿宋"/>
                <w:sz w:val="24"/>
              </w:rPr>
              <w:t>1</w:t>
            </w:r>
          </w:p>
        </w:tc>
        <w:tc>
          <w:tcPr>
            <w:tcW w:w="525" w:type="pct"/>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废油漆桶</w:t>
            </w:r>
          </w:p>
        </w:tc>
        <w:tc>
          <w:tcPr>
            <w:tcW w:w="608" w:type="pct"/>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HW49</w:t>
            </w:r>
          </w:p>
        </w:tc>
        <w:tc>
          <w:tcPr>
            <w:tcW w:w="608" w:type="pct"/>
            <w:gridSpan w:val="2"/>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900-041-49</w:t>
            </w:r>
          </w:p>
        </w:tc>
        <w:tc>
          <w:tcPr>
            <w:tcW w:w="502" w:type="pct"/>
            <w:vAlign w:val="center"/>
          </w:tcPr>
          <w:p>
            <w:pPr>
              <w:jc w:val="center"/>
              <w:rPr>
                <w:rFonts w:hint="eastAsia" w:ascii="仿宋" w:hAnsi="仿宋" w:eastAsia="仿宋" w:cs="仿宋"/>
                <w:sz w:val="24"/>
              </w:rPr>
            </w:pPr>
          </w:p>
        </w:tc>
        <w:tc>
          <w:tcPr>
            <w:tcW w:w="1053" w:type="pct"/>
            <w:vAlign w:val="center"/>
          </w:tcPr>
          <w:p>
            <w:pPr>
              <w:jc w:val="center"/>
              <w:rPr>
                <w:rFonts w:hint="eastAsia" w:ascii="仿宋" w:hAnsi="仿宋" w:eastAsia="仿宋" w:cs="仿宋"/>
                <w:sz w:val="24"/>
              </w:rPr>
            </w:pPr>
          </w:p>
        </w:tc>
        <w:tc>
          <w:tcPr>
            <w:tcW w:w="1524" w:type="pct"/>
            <w:gridSpan w:val="3"/>
            <w:vMerge w:val="restart"/>
            <w:vAlign w:val="center"/>
          </w:tcPr>
          <w:p>
            <w:pPr>
              <w:jc w:val="center"/>
              <w:rPr>
                <w:rFonts w:hint="eastAsia" w:ascii="仿宋" w:hAnsi="仿宋" w:eastAsia="仿宋"/>
                <w:sz w:val="24"/>
                <w:lang w:eastAsia="zh-CN"/>
              </w:rPr>
            </w:pPr>
            <w:r>
              <w:rPr>
                <w:rFonts w:ascii="宋体" w:hAnsi="宋体" w:eastAsia="宋体" w:cs="宋体"/>
                <w:b/>
                <w:bCs/>
                <w:color w:val="FF0000"/>
                <w:sz w:val="24"/>
                <w:szCs w:val="24"/>
              </w:rPr>
              <w:t>具有《危险废物经营许可证》，核准危废类别包括符合国家HW08</w:t>
            </w:r>
            <w:r>
              <w:rPr>
                <w:rFonts w:hint="eastAsia" w:ascii="宋体" w:hAnsi="宋体" w:cs="宋体"/>
                <w:b/>
                <w:bCs/>
                <w:color w:val="FF0000"/>
                <w:sz w:val="24"/>
                <w:szCs w:val="24"/>
                <w:lang w:val="en-US" w:eastAsia="zh-CN"/>
              </w:rPr>
              <w:t>、HW09、HW12和</w:t>
            </w:r>
            <w:r>
              <w:rPr>
                <w:rFonts w:ascii="宋体" w:hAnsi="宋体" w:eastAsia="宋体" w:cs="宋体"/>
                <w:b/>
                <w:bCs/>
                <w:color w:val="FF0000"/>
                <w:sz w:val="24"/>
                <w:szCs w:val="24"/>
              </w:rPr>
              <w:t>HW49类处置要求，同时具备危险货物《道路运输经营许可证》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6" w:type="pct"/>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2</w:t>
            </w:r>
          </w:p>
        </w:tc>
        <w:tc>
          <w:tcPr>
            <w:tcW w:w="525" w:type="pct"/>
            <w:vAlign w:val="center"/>
          </w:tcPr>
          <w:p>
            <w:pPr>
              <w:keepNext w:val="0"/>
              <w:keepLines w:val="0"/>
              <w:widowControl/>
              <w:suppressLineNumbers w:val="0"/>
              <w:jc w:val="center"/>
              <w:textAlignment w:val="center"/>
              <w:rPr>
                <w:rFonts w:hint="eastAsia" w:ascii="仿宋" w:hAnsi="仿宋" w:eastAsia="仿宋" w:cs="仿宋"/>
                <w:sz w:val="24"/>
                <w:lang w:val="en-US" w:eastAsia="zh-CN"/>
              </w:rPr>
            </w:pPr>
            <w:r>
              <w:rPr>
                <w:rFonts w:hint="eastAsia" w:ascii="仿宋" w:hAnsi="仿宋" w:eastAsia="仿宋" w:cs="仿宋"/>
                <w:i w:val="0"/>
                <w:iCs w:val="0"/>
                <w:color w:val="000000"/>
                <w:kern w:val="0"/>
                <w:sz w:val="22"/>
                <w:szCs w:val="22"/>
                <w:u w:val="none"/>
                <w:lang w:val="en-US" w:eastAsia="zh-CN" w:bidi="ar"/>
              </w:rPr>
              <w:t>废漆雾过滤棉</w:t>
            </w:r>
          </w:p>
        </w:tc>
        <w:tc>
          <w:tcPr>
            <w:tcW w:w="608" w:type="pct"/>
            <w:vAlign w:val="center"/>
          </w:tcPr>
          <w:p>
            <w:pPr>
              <w:keepNext w:val="0"/>
              <w:keepLines w:val="0"/>
              <w:widowControl/>
              <w:suppressLineNumbers w:val="0"/>
              <w:jc w:val="center"/>
              <w:textAlignment w:val="center"/>
              <w:rPr>
                <w:rFonts w:hint="default" w:ascii="仿宋" w:hAnsi="仿宋" w:eastAsia="仿宋" w:cs="仿宋"/>
                <w:sz w:val="24"/>
                <w:lang w:val="en-US" w:eastAsia="zh-CN"/>
              </w:rPr>
            </w:pPr>
            <w:r>
              <w:rPr>
                <w:rFonts w:hint="eastAsia" w:ascii="仿宋" w:hAnsi="仿宋" w:eastAsia="仿宋" w:cs="仿宋"/>
                <w:i w:val="0"/>
                <w:iCs w:val="0"/>
                <w:color w:val="000000"/>
                <w:kern w:val="0"/>
                <w:sz w:val="22"/>
                <w:szCs w:val="22"/>
                <w:u w:val="none"/>
                <w:lang w:val="en-US" w:eastAsia="zh-CN" w:bidi="ar"/>
              </w:rPr>
              <w:t>HW49</w:t>
            </w:r>
          </w:p>
        </w:tc>
        <w:tc>
          <w:tcPr>
            <w:tcW w:w="608" w:type="pct"/>
            <w:gridSpan w:val="2"/>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900-041-49</w:t>
            </w:r>
          </w:p>
        </w:tc>
        <w:tc>
          <w:tcPr>
            <w:tcW w:w="502" w:type="pct"/>
            <w:vAlign w:val="center"/>
          </w:tcPr>
          <w:p>
            <w:pPr>
              <w:jc w:val="center"/>
              <w:rPr>
                <w:rFonts w:hint="eastAsia" w:ascii="仿宋" w:hAnsi="仿宋" w:eastAsia="仿宋" w:cs="仿宋"/>
                <w:sz w:val="24"/>
              </w:rPr>
            </w:pPr>
          </w:p>
        </w:tc>
        <w:tc>
          <w:tcPr>
            <w:tcW w:w="1053" w:type="pct"/>
            <w:vAlign w:val="center"/>
          </w:tcPr>
          <w:p>
            <w:pPr>
              <w:jc w:val="center"/>
              <w:rPr>
                <w:rFonts w:hint="eastAsia" w:ascii="仿宋" w:hAnsi="仿宋" w:eastAsia="仿宋" w:cs="仿宋"/>
                <w:sz w:val="24"/>
                <w:lang w:eastAsia="zh-CN"/>
              </w:rPr>
            </w:pPr>
            <w:r>
              <w:rPr>
                <w:rFonts w:hint="eastAsia" w:ascii="仿宋" w:hAnsi="仿宋" w:eastAsia="仿宋" w:cs="仿宋"/>
                <w:sz w:val="24"/>
                <w:lang w:val="en-US" w:eastAsia="zh-CN"/>
              </w:rPr>
              <w:t xml:space="preserve"> </w:t>
            </w:r>
          </w:p>
        </w:tc>
        <w:tc>
          <w:tcPr>
            <w:tcW w:w="1524" w:type="pct"/>
            <w:gridSpan w:val="3"/>
            <w:vMerge w:val="continue"/>
            <w:vAlign w:val="center"/>
          </w:tcPr>
          <w:p>
            <w:pPr>
              <w:jc w:val="center"/>
              <w:rPr>
                <w:rFonts w:hint="eastAsia" w:ascii="仿宋" w:hAnsi="仿宋" w:eastAsia="仿宋"/>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6" w:type="pct"/>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3</w:t>
            </w:r>
          </w:p>
        </w:tc>
        <w:tc>
          <w:tcPr>
            <w:tcW w:w="525" w:type="pct"/>
            <w:vAlign w:val="center"/>
          </w:tcPr>
          <w:p>
            <w:pPr>
              <w:keepNext w:val="0"/>
              <w:keepLines w:val="0"/>
              <w:widowControl/>
              <w:suppressLineNumbers w:val="0"/>
              <w:jc w:val="center"/>
              <w:textAlignment w:val="center"/>
              <w:rPr>
                <w:rFonts w:hint="eastAsia" w:ascii="仿宋" w:hAnsi="仿宋" w:eastAsia="仿宋" w:cs="仿宋"/>
                <w:sz w:val="24"/>
                <w:lang w:val="en-US" w:eastAsia="zh-CN"/>
              </w:rPr>
            </w:pPr>
            <w:r>
              <w:rPr>
                <w:rFonts w:hint="eastAsia" w:ascii="仿宋" w:hAnsi="仿宋" w:eastAsia="仿宋" w:cs="仿宋"/>
                <w:i w:val="0"/>
                <w:iCs w:val="0"/>
                <w:color w:val="000000"/>
                <w:kern w:val="0"/>
                <w:sz w:val="22"/>
                <w:szCs w:val="22"/>
                <w:u w:val="none"/>
                <w:lang w:val="en-US" w:eastAsia="zh-CN" w:bidi="ar"/>
              </w:rPr>
              <w:t>废活性炭</w:t>
            </w:r>
          </w:p>
        </w:tc>
        <w:tc>
          <w:tcPr>
            <w:tcW w:w="608" w:type="pct"/>
            <w:vAlign w:val="center"/>
          </w:tcPr>
          <w:p>
            <w:pPr>
              <w:keepNext w:val="0"/>
              <w:keepLines w:val="0"/>
              <w:widowControl/>
              <w:suppressLineNumbers w:val="0"/>
              <w:jc w:val="center"/>
              <w:textAlignment w:val="center"/>
              <w:rPr>
                <w:rFonts w:hint="eastAsia" w:ascii="仿宋" w:hAnsi="仿宋" w:eastAsia="仿宋" w:cs="仿宋"/>
                <w:sz w:val="24"/>
                <w:lang w:val="en-US" w:eastAsia="zh-CN"/>
              </w:rPr>
            </w:pPr>
            <w:r>
              <w:rPr>
                <w:rFonts w:hint="eastAsia" w:ascii="仿宋" w:hAnsi="仿宋" w:eastAsia="仿宋" w:cs="仿宋"/>
                <w:i w:val="0"/>
                <w:iCs w:val="0"/>
                <w:color w:val="000000"/>
                <w:kern w:val="0"/>
                <w:sz w:val="22"/>
                <w:szCs w:val="22"/>
                <w:u w:val="none"/>
                <w:lang w:val="en-US" w:eastAsia="zh-CN" w:bidi="ar"/>
              </w:rPr>
              <w:t>HW49</w:t>
            </w:r>
          </w:p>
        </w:tc>
        <w:tc>
          <w:tcPr>
            <w:tcW w:w="608" w:type="pct"/>
            <w:gridSpan w:val="2"/>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900-039-49</w:t>
            </w:r>
          </w:p>
        </w:tc>
        <w:tc>
          <w:tcPr>
            <w:tcW w:w="502" w:type="pct"/>
            <w:vAlign w:val="center"/>
          </w:tcPr>
          <w:p>
            <w:pPr>
              <w:jc w:val="center"/>
              <w:rPr>
                <w:rFonts w:hint="eastAsia" w:ascii="仿宋" w:hAnsi="仿宋" w:eastAsia="仿宋" w:cs="仿宋"/>
                <w:sz w:val="24"/>
              </w:rPr>
            </w:pPr>
          </w:p>
        </w:tc>
        <w:tc>
          <w:tcPr>
            <w:tcW w:w="1053" w:type="pct"/>
            <w:vAlign w:val="center"/>
          </w:tcPr>
          <w:p>
            <w:pPr>
              <w:jc w:val="center"/>
              <w:rPr>
                <w:rFonts w:hint="eastAsia" w:ascii="仿宋" w:hAnsi="仿宋" w:eastAsia="仿宋" w:cs="仿宋"/>
                <w:sz w:val="24"/>
                <w:lang w:val="en-US" w:eastAsia="zh-CN"/>
              </w:rPr>
            </w:pPr>
          </w:p>
        </w:tc>
        <w:tc>
          <w:tcPr>
            <w:tcW w:w="1524" w:type="pct"/>
            <w:gridSpan w:val="3"/>
            <w:vMerge w:val="continue"/>
            <w:vAlign w:val="center"/>
          </w:tcPr>
          <w:p>
            <w:pPr>
              <w:jc w:val="center"/>
              <w:rPr>
                <w:rFonts w:hint="default" w:ascii="仿宋" w:hAnsi="仿宋" w:eastAsia="仿宋"/>
                <w:sz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6" w:type="pct"/>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4</w:t>
            </w:r>
          </w:p>
        </w:tc>
        <w:tc>
          <w:tcPr>
            <w:tcW w:w="525" w:type="pct"/>
            <w:vAlign w:val="center"/>
          </w:tcPr>
          <w:p>
            <w:pPr>
              <w:keepNext w:val="0"/>
              <w:keepLines w:val="0"/>
              <w:widowControl/>
              <w:suppressLineNumbers w:val="0"/>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i w:val="0"/>
                <w:iCs w:val="0"/>
                <w:color w:val="000000"/>
                <w:kern w:val="0"/>
                <w:sz w:val="22"/>
                <w:szCs w:val="22"/>
                <w:u w:val="none"/>
                <w:lang w:val="en-US" w:eastAsia="zh-CN" w:bidi="ar"/>
              </w:rPr>
              <w:t>废机油桶</w:t>
            </w:r>
          </w:p>
        </w:tc>
        <w:tc>
          <w:tcPr>
            <w:tcW w:w="608" w:type="pct"/>
            <w:vAlign w:val="center"/>
          </w:tcPr>
          <w:p>
            <w:pPr>
              <w:keepNext w:val="0"/>
              <w:keepLines w:val="0"/>
              <w:widowControl/>
              <w:suppressLineNumbers w:val="0"/>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i w:val="0"/>
                <w:iCs w:val="0"/>
                <w:color w:val="000000"/>
                <w:kern w:val="0"/>
                <w:sz w:val="22"/>
                <w:szCs w:val="22"/>
                <w:u w:val="none"/>
                <w:lang w:val="en-US" w:eastAsia="zh-CN" w:bidi="ar"/>
              </w:rPr>
              <w:t>HW49</w:t>
            </w:r>
          </w:p>
        </w:tc>
        <w:tc>
          <w:tcPr>
            <w:tcW w:w="608" w:type="pct"/>
            <w:gridSpan w:val="2"/>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900-041-49</w:t>
            </w:r>
          </w:p>
        </w:tc>
        <w:tc>
          <w:tcPr>
            <w:tcW w:w="502" w:type="pct"/>
            <w:vAlign w:val="center"/>
          </w:tcPr>
          <w:p>
            <w:pPr>
              <w:jc w:val="center"/>
              <w:rPr>
                <w:rFonts w:hint="eastAsia" w:ascii="仿宋" w:hAnsi="仿宋" w:eastAsia="仿宋" w:cs="仿宋"/>
                <w:sz w:val="24"/>
              </w:rPr>
            </w:pPr>
          </w:p>
        </w:tc>
        <w:tc>
          <w:tcPr>
            <w:tcW w:w="1053" w:type="pct"/>
            <w:vAlign w:val="center"/>
          </w:tcPr>
          <w:p>
            <w:pPr>
              <w:jc w:val="center"/>
              <w:rPr>
                <w:rFonts w:hint="eastAsia" w:ascii="仿宋" w:hAnsi="仿宋" w:eastAsia="仿宋" w:cs="仿宋"/>
                <w:sz w:val="24"/>
                <w:lang w:val="en-US" w:eastAsia="zh-CN"/>
              </w:rPr>
            </w:pPr>
          </w:p>
        </w:tc>
        <w:tc>
          <w:tcPr>
            <w:tcW w:w="1524" w:type="pct"/>
            <w:gridSpan w:val="3"/>
            <w:vMerge w:val="continue"/>
            <w:vAlign w:val="center"/>
          </w:tcPr>
          <w:p>
            <w:pPr>
              <w:jc w:val="center"/>
              <w:rPr>
                <w:rFonts w:hint="default" w:ascii="仿宋" w:hAnsi="仿宋" w:eastAsia="仿宋"/>
                <w:sz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6" w:type="pct"/>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5</w:t>
            </w:r>
          </w:p>
        </w:tc>
        <w:tc>
          <w:tcPr>
            <w:tcW w:w="525" w:type="pct"/>
            <w:vAlign w:val="center"/>
          </w:tcPr>
          <w:p>
            <w:pPr>
              <w:keepNext w:val="0"/>
              <w:keepLines w:val="0"/>
              <w:widowControl/>
              <w:suppressLineNumbers w:val="0"/>
              <w:jc w:val="center"/>
              <w:textAlignment w:val="center"/>
              <w:rPr>
                <w:rFonts w:hint="eastAsia" w:ascii="仿宋" w:hAnsi="仿宋" w:eastAsia="仿宋" w:cs="仿宋"/>
                <w:sz w:val="24"/>
                <w:lang w:val="en-US" w:eastAsia="zh-CN"/>
              </w:rPr>
            </w:pPr>
            <w:r>
              <w:rPr>
                <w:rFonts w:hint="eastAsia" w:ascii="仿宋" w:hAnsi="仿宋" w:eastAsia="仿宋" w:cs="仿宋"/>
                <w:i w:val="0"/>
                <w:iCs w:val="0"/>
                <w:color w:val="000000"/>
                <w:kern w:val="0"/>
                <w:sz w:val="22"/>
                <w:szCs w:val="22"/>
                <w:u w:val="none"/>
                <w:lang w:val="en-US" w:eastAsia="zh-CN" w:bidi="ar"/>
              </w:rPr>
              <w:t>废试剂液</w:t>
            </w:r>
          </w:p>
        </w:tc>
        <w:tc>
          <w:tcPr>
            <w:tcW w:w="608" w:type="pct"/>
            <w:vAlign w:val="center"/>
          </w:tcPr>
          <w:p>
            <w:pPr>
              <w:keepNext w:val="0"/>
              <w:keepLines w:val="0"/>
              <w:widowControl/>
              <w:suppressLineNumbers w:val="0"/>
              <w:jc w:val="center"/>
              <w:textAlignment w:val="center"/>
              <w:rPr>
                <w:rFonts w:hint="eastAsia" w:ascii="仿宋" w:hAnsi="仿宋" w:eastAsia="仿宋" w:cs="仿宋"/>
                <w:sz w:val="24"/>
                <w:lang w:val="en-US" w:eastAsia="zh-CN"/>
              </w:rPr>
            </w:pPr>
            <w:r>
              <w:rPr>
                <w:rFonts w:hint="eastAsia" w:ascii="仿宋" w:hAnsi="仿宋" w:eastAsia="仿宋" w:cs="仿宋"/>
                <w:i w:val="0"/>
                <w:iCs w:val="0"/>
                <w:color w:val="000000"/>
                <w:kern w:val="0"/>
                <w:sz w:val="22"/>
                <w:szCs w:val="22"/>
                <w:u w:val="none"/>
                <w:lang w:val="en-US" w:eastAsia="zh-CN" w:bidi="ar"/>
              </w:rPr>
              <w:t>HW49</w:t>
            </w:r>
          </w:p>
        </w:tc>
        <w:tc>
          <w:tcPr>
            <w:tcW w:w="608" w:type="pct"/>
            <w:gridSpan w:val="2"/>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900-047-49</w:t>
            </w:r>
          </w:p>
        </w:tc>
        <w:tc>
          <w:tcPr>
            <w:tcW w:w="502" w:type="pct"/>
            <w:vAlign w:val="center"/>
          </w:tcPr>
          <w:p>
            <w:pPr>
              <w:jc w:val="center"/>
              <w:rPr>
                <w:rFonts w:hint="eastAsia" w:ascii="仿宋" w:hAnsi="仿宋" w:eastAsia="仿宋" w:cs="仿宋"/>
                <w:sz w:val="24"/>
              </w:rPr>
            </w:pPr>
          </w:p>
        </w:tc>
        <w:tc>
          <w:tcPr>
            <w:tcW w:w="1053" w:type="pct"/>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 xml:space="preserve"> </w:t>
            </w:r>
          </w:p>
        </w:tc>
        <w:tc>
          <w:tcPr>
            <w:tcW w:w="1524" w:type="pct"/>
            <w:gridSpan w:val="3"/>
            <w:vMerge w:val="continue"/>
            <w:vAlign w:val="center"/>
          </w:tcPr>
          <w:p>
            <w:pPr>
              <w:jc w:val="center"/>
              <w:rPr>
                <w:rFonts w:hint="default" w:ascii="仿宋" w:hAnsi="仿宋" w:eastAsia="仿宋"/>
                <w:sz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6" w:type="pct"/>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 xml:space="preserve">6 </w:t>
            </w:r>
          </w:p>
        </w:tc>
        <w:tc>
          <w:tcPr>
            <w:tcW w:w="525" w:type="pct"/>
            <w:vAlign w:val="center"/>
          </w:tcPr>
          <w:p>
            <w:pPr>
              <w:keepNext w:val="0"/>
              <w:keepLines w:val="0"/>
              <w:widowControl/>
              <w:suppressLineNumbers w:val="0"/>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i w:val="0"/>
                <w:iCs w:val="0"/>
                <w:color w:val="000000"/>
                <w:kern w:val="0"/>
                <w:sz w:val="22"/>
                <w:szCs w:val="22"/>
                <w:u w:val="none"/>
                <w:lang w:val="en-US" w:eastAsia="zh-CN" w:bidi="ar"/>
              </w:rPr>
              <w:t>废油漆渣</w:t>
            </w:r>
          </w:p>
        </w:tc>
        <w:tc>
          <w:tcPr>
            <w:tcW w:w="608" w:type="pct"/>
            <w:vAlign w:val="center"/>
          </w:tcPr>
          <w:p>
            <w:pPr>
              <w:keepNext w:val="0"/>
              <w:keepLines w:val="0"/>
              <w:widowControl/>
              <w:suppressLineNumbers w:val="0"/>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i w:val="0"/>
                <w:iCs w:val="0"/>
                <w:color w:val="000000"/>
                <w:kern w:val="0"/>
                <w:sz w:val="22"/>
                <w:szCs w:val="22"/>
                <w:u w:val="none"/>
                <w:lang w:val="en-US" w:eastAsia="zh-CN" w:bidi="ar"/>
              </w:rPr>
              <w:t>HW12</w:t>
            </w:r>
          </w:p>
        </w:tc>
        <w:tc>
          <w:tcPr>
            <w:tcW w:w="608" w:type="pct"/>
            <w:gridSpan w:val="2"/>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900-299-12</w:t>
            </w:r>
          </w:p>
        </w:tc>
        <w:tc>
          <w:tcPr>
            <w:tcW w:w="502" w:type="pct"/>
            <w:vAlign w:val="center"/>
          </w:tcPr>
          <w:p>
            <w:pPr>
              <w:jc w:val="center"/>
              <w:rPr>
                <w:rFonts w:hint="eastAsia" w:ascii="仿宋" w:hAnsi="仿宋" w:eastAsia="仿宋" w:cs="仿宋"/>
                <w:sz w:val="24"/>
                <w:lang w:val="en-US"/>
              </w:rPr>
            </w:pPr>
          </w:p>
        </w:tc>
        <w:tc>
          <w:tcPr>
            <w:tcW w:w="1053" w:type="pct"/>
            <w:vAlign w:val="center"/>
          </w:tcPr>
          <w:p>
            <w:pPr>
              <w:jc w:val="center"/>
              <w:rPr>
                <w:rFonts w:hint="eastAsia" w:ascii="仿宋" w:hAnsi="仿宋" w:eastAsia="仿宋" w:cs="仿宋"/>
                <w:sz w:val="24"/>
                <w:lang w:val="en-US"/>
              </w:rPr>
            </w:pPr>
          </w:p>
        </w:tc>
        <w:tc>
          <w:tcPr>
            <w:tcW w:w="1524" w:type="pct"/>
            <w:gridSpan w:val="3"/>
            <w:vMerge w:val="continue"/>
            <w:vAlign w:val="center"/>
          </w:tcPr>
          <w:p>
            <w:pPr>
              <w:jc w:val="center"/>
              <w:rPr>
                <w:rFonts w:hint="default" w:ascii="仿宋" w:hAnsi="仿宋" w:eastAsia="仿宋"/>
                <w:sz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6" w:type="pct"/>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 xml:space="preserve">7 </w:t>
            </w:r>
          </w:p>
        </w:tc>
        <w:tc>
          <w:tcPr>
            <w:tcW w:w="525" w:type="pct"/>
            <w:vAlign w:val="center"/>
          </w:tcPr>
          <w:p>
            <w:pPr>
              <w:keepNext w:val="0"/>
              <w:keepLines w:val="0"/>
              <w:widowControl/>
              <w:suppressLineNumbers w:val="0"/>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i w:val="0"/>
                <w:iCs w:val="0"/>
                <w:color w:val="000000"/>
                <w:kern w:val="0"/>
                <w:sz w:val="22"/>
                <w:szCs w:val="22"/>
                <w:u w:val="none"/>
                <w:lang w:val="en-US" w:eastAsia="zh-CN" w:bidi="ar"/>
              </w:rPr>
              <w:t>废切削液</w:t>
            </w:r>
          </w:p>
        </w:tc>
        <w:tc>
          <w:tcPr>
            <w:tcW w:w="608" w:type="pct"/>
            <w:vAlign w:val="center"/>
          </w:tcPr>
          <w:p>
            <w:pPr>
              <w:keepNext w:val="0"/>
              <w:keepLines w:val="0"/>
              <w:widowControl/>
              <w:suppressLineNumbers w:val="0"/>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i w:val="0"/>
                <w:iCs w:val="0"/>
                <w:color w:val="000000"/>
                <w:kern w:val="0"/>
                <w:sz w:val="22"/>
                <w:szCs w:val="22"/>
                <w:u w:val="none"/>
                <w:lang w:val="en-US" w:eastAsia="zh-CN" w:bidi="ar"/>
              </w:rPr>
              <w:t>HW09</w:t>
            </w:r>
          </w:p>
        </w:tc>
        <w:tc>
          <w:tcPr>
            <w:tcW w:w="608" w:type="pct"/>
            <w:gridSpan w:val="2"/>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900-006-09</w:t>
            </w:r>
          </w:p>
        </w:tc>
        <w:tc>
          <w:tcPr>
            <w:tcW w:w="502" w:type="pct"/>
            <w:vAlign w:val="center"/>
          </w:tcPr>
          <w:p>
            <w:pPr>
              <w:jc w:val="center"/>
              <w:rPr>
                <w:rFonts w:hint="eastAsia" w:ascii="仿宋" w:hAnsi="仿宋" w:eastAsia="仿宋" w:cs="仿宋"/>
                <w:sz w:val="24"/>
                <w:lang w:val="en-US"/>
              </w:rPr>
            </w:pPr>
          </w:p>
        </w:tc>
        <w:tc>
          <w:tcPr>
            <w:tcW w:w="1053" w:type="pct"/>
            <w:vAlign w:val="center"/>
          </w:tcPr>
          <w:p>
            <w:pPr>
              <w:jc w:val="center"/>
              <w:rPr>
                <w:rFonts w:hint="eastAsia" w:ascii="仿宋" w:hAnsi="仿宋" w:eastAsia="仿宋" w:cs="仿宋"/>
                <w:sz w:val="24"/>
                <w:lang w:val="en-US"/>
              </w:rPr>
            </w:pPr>
          </w:p>
        </w:tc>
        <w:tc>
          <w:tcPr>
            <w:tcW w:w="1524" w:type="pct"/>
            <w:gridSpan w:val="3"/>
            <w:vMerge w:val="continue"/>
            <w:vAlign w:val="center"/>
          </w:tcPr>
          <w:p>
            <w:pPr>
              <w:jc w:val="center"/>
              <w:rPr>
                <w:rFonts w:hint="default" w:ascii="仿宋" w:hAnsi="仿宋" w:eastAsia="仿宋"/>
                <w:sz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6" w:type="pct"/>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8</w:t>
            </w:r>
          </w:p>
        </w:tc>
        <w:tc>
          <w:tcPr>
            <w:tcW w:w="525" w:type="pct"/>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废机油</w:t>
            </w:r>
          </w:p>
        </w:tc>
        <w:tc>
          <w:tcPr>
            <w:tcW w:w="608" w:type="pct"/>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HW08</w:t>
            </w:r>
          </w:p>
        </w:tc>
        <w:tc>
          <w:tcPr>
            <w:tcW w:w="608" w:type="pct"/>
            <w:gridSpan w:val="2"/>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900-214-08</w:t>
            </w:r>
          </w:p>
        </w:tc>
        <w:tc>
          <w:tcPr>
            <w:tcW w:w="502" w:type="pct"/>
            <w:vAlign w:val="center"/>
          </w:tcPr>
          <w:p>
            <w:pPr>
              <w:jc w:val="center"/>
              <w:rPr>
                <w:rFonts w:hint="eastAsia" w:ascii="仿宋" w:hAnsi="仿宋" w:eastAsia="仿宋" w:cs="仿宋"/>
                <w:sz w:val="24"/>
                <w:lang w:val="en-US"/>
              </w:rPr>
            </w:pPr>
          </w:p>
        </w:tc>
        <w:tc>
          <w:tcPr>
            <w:tcW w:w="1053" w:type="pct"/>
            <w:vAlign w:val="center"/>
          </w:tcPr>
          <w:p>
            <w:pPr>
              <w:jc w:val="center"/>
              <w:rPr>
                <w:rFonts w:hint="eastAsia" w:ascii="仿宋" w:hAnsi="仿宋" w:eastAsia="仿宋" w:cs="仿宋"/>
                <w:sz w:val="24"/>
                <w:lang w:val="en-US"/>
              </w:rPr>
            </w:pPr>
          </w:p>
        </w:tc>
        <w:tc>
          <w:tcPr>
            <w:tcW w:w="1524" w:type="pct"/>
            <w:gridSpan w:val="3"/>
            <w:vMerge w:val="continue"/>
            <w:vAlign w:val="center"/>
          </w:tcPr>
          <w:p>
            <w:pPr>
              <w:jc w:val="center"/>
              <w:rPr>
                <w:rFonts w:hint="default" w:ascii="仿宋" w:hAnsi="仿宋" w:eastAsia="仿宋"/>
                <w:sz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6" w:type="pct"/>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9</w:t>
            </w:r>
          </w:p>
        </w:tc>
        <w:tc>
          <w:tcPr>
            <w:tcW w:w="525" w:type="pct"/>
            <w:vAlign w:val="center"/>
          </w:tcPr>
          <w:p>
            <w:pPr>
              <w:keepNext w:val="0"/>
              <w:keepLines w:val="0"/>
              <w:widowControl/>
              <w:suppressLineNumbers w:val="0"/>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i w:val="0"/>
                <w:iCs w:val="0"/>
                <w:color w:val="000000"/>
                <w:kern w:val="0"/>
                <w:sz w:val="22"/>
                <w:szCs w:val="22"/>
                <w:u w:val="none"/>
                <w:lang w:val="en-US" w:eastAsia="zh-CN" w:bidi="ar"/>
              </w:rPr>
              <w:t>废液压油</w:t>
            </w:r>
          </w:p>
        </w:tc>
        <w:tc>
          <w:tcPr>
            <w:tcW w:w="608" w:type="pct"/>
            <w:vAlign w:val="center"/>
          </w:tcPr>
          <w:p>
            <w:pPr>
              <w:keepNext w:val="0"/>
              <w:keepLines w:val="0"/>
              <w:widowControl/>
              <w:suppressLineNumbers w:val="0"/>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i w:val="0"/>
                <w:iCs w:val="0"/>
                <w:color w:val="000000"/>
                <w:kern w:val="0"/>
                <w:sz w:val="22"/>
                <w:szCs w:val="22"/>
                <w:u w:val="none"/>
                <w:lang w:val="en-US" w:eastAsia="zh-CN" w:bidi="ar"/>
              </w:rPr>
              <w:t>HW08</w:t>
            </w:r>
          </w:p>
        </w:tc>
        <w:tc>
          <w:tcPr>
            <w:tcW w:w="608" w:type="pct"/>
            <w:gridSpan w:val="2"/>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900-218-08</w:t>
            </w:r>
          </w:p>
        </w:tc>
        <w:tc>
          <w:tcPr>
            <w:tcW w:w="502" w:type="pct"/>
            <w:vAlign w:val="center"/>
          </w:tcPr>
          <w:p>
            <w:pPr>
              <w:jc w:val="center"/>
              <w:rPr>
                <w:rFonts w:hint="eastAsia" w:ascii="仿宋" w:hAnsi="仿宋" w:eastAsia="仿宋" w:cs="仿宋"/>
                <w:sz w:val="24"/>
                <w:lang w:val="en-US"/>
              </w:rPr>
            </w:pPr>
          </w:p>
        </w:tc>
        <w:tc>
          <w:tcPr>
            <w:tcW w:w="1053" w:type="pct"/>
            <w:vAlign w:val="center"/>
          </w:tcPr>
          <w:p>
            <w:pPr>
              <w:jc w:val="center"/>
              <w:rPr>
                <w:rFonts w:hint="eastAsia" w:ascii="仿宋" w:hAnsi="仿宋" w:eastAsia="仿宋" w:cs="仿宋"/>
                <w:sz w:val="24"/>
                <w:lang w:val="en-US"/>
              </w:rPr>
            </w:pPr>
          </w:p>
        </w:tc>
        <w:tc>
          <w:tcPr>
            <w:tcW w:w="1524" w:type="pct"/>
            <w:gridSpan w:val="3"/>
            <w:vMerge w:val="continue"/>
            <w:vAlign w:val="center"/>
          </w:tcPr>
          <w:p>
            <w:pPr>
              <w:jc w:val="center"/>
              <w:rPr>
                <w:rFonts w:hint="default" w:ascii="仿宋" w:hAnsi="仿宋" w:eastAsia="仿宋"/>
                <w:sz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10"/>
            <w:vAlign w:val="center"/>
          </w:tcPr>
          <w:p>
            <w:pPr>
              <w:ind w:firstLine="660" w:firstLineChars="300"/>
              <w:rPr>
                <w:rFonts w:ascii="仿宋" w:hAnsi="仿宋" w:eastAsia="仿宋" w:cs="仿宋"/>
                <w:b/>
                <w:bCs/>
                <w:color w:val="FF0000"/>
                <w:sz w:val="22"/>
                <w:szCs w:val="22"/>
              </w:rPr>
            </w:pPr>
            <w:r>
              <w:rPr>
                <w:rFonts w:hint="eastAsia" w:ascii="仿宋" w:hAnsi="仿宋" w:eastAsia="仿宋" w:cs="仿宋"/>
                <w:sz w:val="22"/>
                <w:szCs w:val="22"/>
              </w:rPr>
              <w:t>说明：1、带*号为必填项；2、报价为含税含运费价；3、除签名外要求一律打印，手写无效 ；4、评标结果以合理低价中标并签订购销合同。未中标单位将不另行通知；5、危险废物对应资质（营业执照、危险废物经营许可证、危险货物经营许可证等）齐全，报价包括人工及运输过程中车辆及所有税费；6、按</w:t>
            </w:r>
            <w:r>
              <w:rPr>
                <w:rFonts w:hint="eastAsia" w:ascii="仿宋" w:hAnsi="仿宋" w:eastAsia="仿宋" w:cs="仿宋"/>
                <w:sz w:val="22"/>
                <w:szCs w:val="22"/>
                <w:lang w:val="en-US" w:eastAsia="zh-CN"/>
              </w:rPr>
              <w:t>双方确认</w:t>
            </w:r>
            <w:r>
              <w:rPr>
                <w:rFonts w:hint="eastAsia" w:ascii="仿宋" w:hAnsi="仿宋" w:eastAsia="仿宋" w:cs="仿宋"/>
                <w:sz w:val="22"/>
                <w:szCs w:val="22"/>
              </w:rPr>
              <w:t>实际</w:t>
            </w:r>
            <w:r>
              <w:rPr>
                <w:rFonts w:hint="eastAsia" w:ascii="仿宋" w:hAnsi="仿宋" w:eastAsia="仿宋" w:cs="仿宋"/>
                <w:sz w:val="22"/>
                <w:szCs w:val="22"/>
                <w:lang w:val="en-US" w:eastAsia="zh-CN"/>
              </w:rPr>
              <w:t>处置</w:t>
            </w:r>
            <w:r>
              <w:rPr>
                <w:rFonts w:hint="eastAsia" w:ascii="仿宋" w:hAnsi="仿宋" w:eastAsia="仿宋" w:cs="仿宋"/>
                <w:sz w:val="22"/>
                <w:szCs w:val="22"/>
              </w:rPr>
              <w:t>重量结算，合同签订后，网上转移备案接收后,供方开具相应的增值税专用发票及收据，履行相关手续报财务进账后付款；注：</w:t>
            </w:r>
            <w:r>
              <w:rPr>
                <w:rFonts w:hint="eastAsia" w:ascii="仿宋" w:hAnsi="仿宋" w:eastAsia="仿宋" w:cs="仿宋"/>
                <w:b/>
                <w:bCs/>
                <w:color w:val="FF0000"/>
                <w:sz w:val="22"/>
                <w:szCs w:val="22"/>
              </w:rPr>
              <w:t>7.投标单位需将报价单进行有效密封。同时，随附单位营业执照副本复印件（加盖公章），危险品处置许可证（有效期需覆盖2024年度），危险品运输许可证或委托合同，投标代理人身份证复印件。</w:t>
            </w:r>
          </w:p>
          <w:p>
            <w:pPr>
              <w:ind w:firstLine="960" w:firstLineChars="400"/>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14" w:type="pct"/>
            <w:gridSpan w:val="4"/>
            <w:vMerge w:val="restart"/>
            <w:vAlign w:val="center"/>
          </w:tcPr>
          <w:p>
            <w:pPr>
              <w:rPr>
                <w:rFonts w:ascii="仿宋" w:hAnsi="仿宋" w:eastAsia="仿宋"/>
                <w:sz w:val="24"/>
              </w:rPr>
            </w:pPr>
            <w:r>
              <w:rPr>
                <w:rFonts w:hint="eastAsia" w:ascii="仿宋" w:hAnsi="仿宋" w:eastAsia="仿宋" w:cs="仿宋"/>
                <w:sz w:val="24"/>
              </w:rPr>
              <w:t>投标单位（公章）</w:t>
            </w:r>
          </w:p>
        </w:tc>
        <w:tc>
          <w:tcPr>
            <w:tcW w:w="2074" w:type="pct"/>
            <w:gridSpan w:val="4"/>
            <w:vAlign w:val="center"/>
          </w:tcPr>
          <w:p>
            <w:pPr>
              <w:jc w:val="center"/>
              <w:rPr>
                <w:rFonts w:ascii="仿宋" w:hAnsi="仿宋" w:eastAsia="仿宋"/>
                <w:sz w:val="24"/>
              </w:rPr>
            </w:pPr>
            <w:r>
              <w:rPr>
                <w:rFonts w:hint="eastAsia" w:ascii="仿宋" w:hAnsi="仿宋" w:eastAsia="仿宋" w:cs="仿宋"/>
                <w:sz w:val="24"/>
              </w:rPr>
              <w:t>法定代表人或授权委托人</w:t>
            </w:r>
          </w:p>
        </w:tc>
        <w:tc>
          <w:tcPr>
            <w:tcW w:w="1211" w:type="pct"/>
            <w:gridSpan w:val="2"/>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14" w:type="pct"/>
            <w:gridSpan w:val="4"/>
            <w:vMerge w:val="continue"/>
            <w:vAlign w:val="center"/>
          </w:tcPr>
          <w:p>
            <w:pPr>
              <w:rPr>
                <w:rFonts w:hint="eastAsia" w:ascii="仿宋" w:hAnsi="仿宋" w:eastAsia="仿宋"/>
                <w:sz w:val="24"/>
                <w:lang w:eastAsia="zh-CN"/>
              </w:rPr>
            </w:pPr>
            <w:r>
              <w:rPr>
                <w:rFonts w:hint="eastAsia" w:ascii="仿宋" w:hAnsi="仿宋" w:eastAsia="仿宋"/>
                <w:sz w:val="24"/>
                <w:lang w:eastAsia="zh-CN"/>
              </w:rPr>
              <w:t>2</w:t>
            </w:r>
          </w:p>
        </w:tc>
        <w:tc>
          <w:tcPr>
            <w:tcW w:w="2074" w:type="pct"/>
            <w:gridSpan w:val="4"/>
            <w:vAlign w:val="center"/>
          </w:tcPr>
          <w:p>
            <w:pPr>
              <w:jc w:val="center"/>
              <w:rPr>
                <w:rFonts w:ascii="仿宋" w:hAnsi="仿宋" w:eastAsia="仿宋"/>
                <w:sz w:val="24"/>
              </w:rPr>
            </w:pPr>
            <w:r>
              <w:rPr>
                <w:rFonts w:hint="eastAsia" w:ascii="仿宋" w:hAnsi="仿宋" w:eastAsia="仿宋" w:cs="仿宋"/>
                <w:sz w:val="24"/>
              </w:rPr>
              <w:t>联系方式</w:t>
            </w:r>
          </w:p>
        </w:tc>
        <w:tc>
          <w:tcPr>
            <w:tcW w:w="490" w:type="pct"/>
            <w:vAlign w:val="center"/>
          </w:tcPr>
          <w:p>
            <w:pPr>
              <w:jc w:val="center"/>
              <w:rPr>
                <w:rFonts w:ascii="仿宋" w:hAnsi="仿宋" w:eastAsia="仿宋"/>
                <w:sz w:val="24"/>
              </w:rPr>
            </w:pPr>
            <w:r>
              <w:rPr>
                <w:rFonts w:hint="eastAsia" w:ascii="仿宋" w:hAnsi="仿宋" w:eastAsia="仿宋" w:cs="仿宋"/>
                <w:sz w:val="24"/>
              </w:rPr>
              <w:t>电话</w:t>
            </w:r>
          </w:p>
        </w:tc>
        <w:tc>
          <w:tcPr>
            <w:tcW w:w="720" w:type="pct"/>
            <w:vAlign w:val="center"/>
          </w:tcPr>
          <w:p>
            <w:pPr>
              <w:rPr>
                <w:sz w:val="24"/>
              </w:rPr>
            </w:pP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rFonts w:ascii="仿宋" w:hAnsi="仿宋" w:eastAsia="仿宋" w:cs="仿宋_GB2312"/>
          <w:b/>
          <w:sz w:val="36"/>
          <w:szCs w:val="36"/>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p>
  <w:p>
    <w:pPr>
      <w:pStyle w:val="3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right" w:y="1"/>
      <w:rPr>
        <w:rStyle w:val="50"/>
      </w:rPr>
    </w:pPr>
    <w:r>
      <w:fldChar w:fldCharType="begin"/>
    </w:r>
    <w:r>
      <w:rPr>
        <w:rStyle w:val="50"/>
      </w:rPr>
      <w:instrText xml:space="preserve">PAGE  </w:instrText>
    </w:r>
    <w:r>
      <w:fldChar w:fldCharType="end"/>
    </w:r>
  </w:p>
  <w:p>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right="360"/>
      <w:jc w:val="right"/>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0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0"/>
                            <w:rPr>
                              <w:rStyle w:val="50"/>
                            </w:rPr>
                          </w:pPr>
                          <w:r>
                            <w:fldChar w:fldCharType="begin"/>
                          </w:r>
                          <w:r>
                            <w:rPr>
                              <w:rStyle w:val="50"/>
                            </w:rPr>
                            <w:instrText xml:space="preserve">PAGE  </w:instrText>
                          </w:r>
                          <w:r>
                            <w:fldChar w:fldCharType="separate"/>
                          </w:r>
                          <w:r>
                            <w:rPr>
                              <w:rStyle w:val="50"/>
                            </w:rPr>
                            <w:t>5</w:t>
                          </w:r>
                          <w:r>
                            <w:fldChar w:fldCharType="end"/>
                          </w:r>
                        </w:p>
                      </w:txbxContent>
                    </wps:txbx>
                    <wps:bodyPr wrap="none" lIns="0" tIns="0" rIns="0" bIns="0" upright="0">
                      <a:spAutoFit/>
                    </wps:bodyPr>
                  </wps:wsp>
                </a:graphicData>
              </a:graphic>
            </wp:anchor>
          </w:drawing>
        </mc:Choice>
        <mc:Fallback>
          <w:pict>
            <v:shape id="文本框 2051"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B4FFJAzwEAAKoDAAAOAAAAAAAAAAEAIAAAAB4BAABkcnMv&#10;ZTJvRG9jLnhtbFBLBQYAAAAABgAGAFkBAABfBQAAAAA=&#10;">
              <v:fill on="f" focussize="0,0"/>
              <v:stroke on="f"/>
              <v:imagedata o:title=""/>
              <o:lock v:ext="edit" aspectratio="f"/>
              <v:textbox inset="0mm,0mm,0mm,0mm" style="mso-fit-shape-to-text:t;">
                <w:txbxContent>
                  <w:p>
                    <w:pPr>
                      <w:pStyle w:val="30"/>
                      <w:rPr>
                        <w:rStyle w:val="50"/>
                      </w:rPr>
                    </w:pPr>
                    <w:r>
                      <w:fldChar w:fldCharType="begin"/>
                    </w:r>
                    <w:r>
                      <w:rPr>
                        <w:rStyle w:val="50"/>
                      </w:rPr>
                      <w:instrText xml:space="preserve">PAGE  </w:instrText>
                    </w:r>
                    <w:r>
                      <w:fldChar w:fldCharType="separate"/>
                    </w:r>
                    <w:r>
                      <w:rPr>
                        <w:rStyle w:val="50"/>
                      </w:rPr>
                      <w:t>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u w:val="single"/>
      </w:rPr>
    </w:pPr>
    <w:r>
      <w:rPr>
        <w:u w:val="single"/>
      </w:rPr>
      <w:drawing>
        <wp:inline distT="0" distB="0" distL="114300" distR="114300">
          <wp:extent cx="224155" cy="207010"/>
          <wp:effectExtent l="0" t="0" r="4445" b="2540"/>
          <wp:docPr id="3" name="图片 1"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tlys"/>
                  <pic:cNvPicPr>
                    <a:picLocks noChangeAspect="1"/>
                  </pic:cNvPicPr>
                </pic:nvPicPr>
                <pic:blipFill>
                  <a:blip r:embed="rId1"/>
                  <a:stretch>
                    <a:fillRect/>
                  </a:stretch>
                </pic:blipFill>
                <pic:spPr>
                  <a:xfrm>
                    <a:off x="0" y="0"/>
                    <a:ext cx="224155" cy="207010"/>
                  </a:xfrm>
                  <a:prstGeom prst="rect">
                    <a:avLst/>
                  </a:prstGeom>
                  <a:noFill/>
                  <a:ln>
                    <a:noFill/>
                  </a:ln>
                </pic:spPr>
              </pic:pic>
            </a:graphicData>
          </a:graphic>
        </wp:inline>
      </w:drawing>
    </w:r>
    <w:r>
      <w:rPr>
        <w:rFonts w:hint="eastAsia"/>
        <w:u w:val="single"/>
      </w:rPr>
      <w:t>铜陵有色金属集团铜冠建筑安装股份有限公司　　　　　　　　　    物资招标文件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u w:val="single"/>
      </w:rPr>
    </w:pPr>
    <w:r>
      <w:rPr>
        <w:u w:val="single"/>
      </w:rPr>
      <w:drawing>
        <wp:inline distT="0" distB="0" distL="114300" distR="114300">
          <wp:extent cx="224155" cy="207010"/>
          <wp:effectExtent l="0" t="0" r="4445" b="2540"/>
          <wp:docPr id="4" name="图片 2"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tlys"/>
                  <pic:cNvPicPr>
                    <a:picLocks noChangeAspect="1"/>
                  </pic:cNvPicPr>
                </pic:nvPicPr>
                <pic:blipFill>
                  <a:blip r:embed="rId1"/>
                  <a:stretch>
                    <a:fillRect/>
                  </a:stretch>
                </pic:blipFill>
                <pic:spPr>
                  <a:xfrm>
                    <a:off x="0" y="0"/>
                    <a:ext cx="224155" cy="207010"/>
                  </a:xfrm>
                  <a:prstGeom prst="rect">
                    <a:avLst/>
                  </a:prstGeom>
                  <a:noFill/>
                  <a:ln>
                    <a:noFill/>
                  </a:ln>
                </pic:spPr>
              </pic:pic>
            </a:graphicData>
          </a:graphic>
        </wp:inline>
      </w:drawing>
    </w:r>
    <w:r>
      <w:rPr>
        <w:rFonts w:hint="eastAsia"/>
        <w:u w:val="single"/>
      </w:rPr>
      <w:t>铜陵有色金属集团铜冠建筑安装股份有限公司           　　　         物资招标文件</w:t>
    </w:r>
  </w:p>
  <w:p>
    <w:pPr>
      <w:pStyle w:val="3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2BEA27D7"/>
    <w:multiLevelType w:val="singleLevel"/>
    <w:tmpl w:val="2BEA27D7"/>
    <w:lvl w:ilvl="0" w:tentative="0">
      <w:start w:val="6"/>
      <w:numFmt w:val="decimal"/>
      <w:suff w:val="nothing"/>
      <w:lvlText w:val="%1、"/>
      <w:lvlJc w:val="left"/>
    </w:lvl>
  </w:abstractNum>
  <w:abstractNum w:abstractNumId="2">
    <w:nsid w:val="438B66A3"/>
    <w:multiLevelType w:val="multilevel"/>
    <w:tmpl w:val="438B66A3"/>
    <w:lvl w:ilvl="0" w:tentative="0">
      <w:start w:val="1"/>
      <w:numFmt w:val="decimal"/>
      <w:pStyle w:val="82"/>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hYzE0NzlhNmU5ZWQ4ZmExNzA1OTQwY2ZlZjVlZjQifQ=="/>
  </w:docVars>
  <w:rsids>
    <w:rsidRoot w:val="00172A27"/>
    <w:rsid w:val="0000135C"/>
    <w:rsid w:val="00002AE1"/>
    <w:rsid w:val="00004FB7"/>
    <w:rsid w:val="00010EC3"/>
    <w:rsid w:val="000135B4"/>
    <w:rsid w:val="00015D3F"/>
    <w:rsid w:val="0001705D"/>
    <w:rsid w:val="00017307"/>
    <w:rsid w:val="00017F6C"/>
    <w:rsid w:val="00020360"/>
    <w:rsid w:val="00020FD6"/>
    <w:rsid w:val="000226DD"/>
    <w:rsid w:val="00024BD0"/>
    <w:rsid w:val="000263E2"/>
    <w:rsid w:val="0003099D"/>
    <w:rsid w:val="00033176"/>
    <w:rsid w:val="00033A6F"/>
    <w:rsid w:val="00035C1C"/>
    <w:rsid w:val="00043460"/>
    <w:rsid w:val="00044EB4"/>
    <w:rsid w:val="000451B4"/>
    <w:rsid w:val="00046E93"/>
    <w:rsid w:val="000509DE"/>
    <w:rsid w:val="00051D40"/>
    <w:rsid w:val="00052B99"/>
    <w:rsid w:val="000554D1"/>
    <w:rsid w:val="00056974"/>
    <w:rsid w:val="00057052"/>
    <w:rsid w:val="00057704"/>
    <w:rsid w:val="000600DA"/>
    <w:rsid w:val="00062061"/>
    <w:rsid w:val="00062ADB"/>
    <w:rsid w:val="00064C97"/>
    <w:rsid w:val="00065BBF"/>
    <w:rsid w:val="00066E50"/>
    <w:rsid w:val="0006769A"/>
    <w:rsid w:val="00070D77"/>
    <w:rsid w:val="000732F3"/>
    <w:rsid w:val="000751EA"/>
    <w:rsid w:val="00077029"/>
    <w:rsid w:val="000805F5"/>
    <w:rsid w:val="000811EE"/>
    <w:rsid w:val="00081A52"/>
    <w:rsid w:val="00083DAF"/>
    <w:rsid w:val="00084094"/>
    <w:rsid w:val="0008424C"/>
    <w:rsid w:val="000847B5"/>
    <w:rsid w:val="00085441"/>
    <w:rsid w:val="00085DEA"/>
    <w:rsid w:val="00086281"/>
    <w:rsid w:val="00086AC4"/>
    <w:rsid w:val="00090053"/>
    <w:rsid w:val="000937C5"/>
    <w:rsid w:val="00093C34"/>
    <w:rsid w:val="00096C07"/>
    <w:rsid w:val="00096ECD"/>
    <w:rsid w:val="00097732"/>
    <w:rsid w:val="00097962"/>
    <w:rsid w:val="000A1422"/>
    <w:rsid w:val="000A2577"/>
    <w:rsid w:val="000A2BC9"/>
    <w:rsid w:val="000A2D5F"/>
    <w:rsid w:val="000A3FBC"/>
    <w:rsid w:val="000A5054"/>
    <w:rsid w:val="000A5C90"/>
    <w:rsid w:val="000A709C"/>
    <w:rsid w:val="000B4D43"/>
    <w:rsid w:val="000B6D9C"/>
    <w:rsid w:val="000B751D"/>
    <w:rsid w:val="000C1AB7"/>
    <w:rsid w:val="000C24CD"/>
    <w:rsid w:val="000C434A"/>
    <w:rsid w:val="000C628D"/>
    <w:rsid w:val="000C75BC"/>
    <w:rsid w:val="000D4E04"/>
    <w:rsid w:val="000D73A2"/>
    <w:rsid w:val="000E08B4"/>
    <w:rsid w:val="000E08B9"/>
    <w:rsid w:val="000E3515"/>
    <w:rsid w:val="000E7955"/>
    <w:rsid w:val="000F1F80"/>
    <w:rsid w:val="000F3D3B"/>
    <w:rsid w:val="000F3FED"/>
    <w:rsid w:val="000F4DEB"/>
    <w:rsid w:val="000F5E2F"/>
    <w:rsid w:val="000F63BC"/>
    <w:rsid w:val="000F70DB"/>
    <w:rsid w:val="000F70DE"/>
    <w:rsid w:val="000F7870"/>
    <w:rsid w:val="000F7A31"/>
    <w:rsid w:val="00102C93"/>
    <w:rsid w:val="001041C2"/>
    <w:rsid w:val="0010728D"/>
    <w:rsid w:val="00111E7D"/>
    <w:rsid w:val="0011678D"/>
    <w:rsid w:val="00117D54"/>
    <w:rsid w:val="00117FD5"/>
    <w:rsid w:val="00120BEC"/>
    <w:rsid w:val="001227DF"/>
    <w:rsid w:val="0012356E"/>
    <w:rsid w:val="00124A2E"/>
    <w:rsid w:val="00130EDA"/>
    <w:rsid w:val="00130F21"/>
    <w:rsid w:val="00132040"/>
    <w:rsid w:val="00132C53"/>
    <w:rsid w:val="0013319E"/>
    <w:rsid w:val="00135EF2"/>
    <w:rsid w:val="001366DF"/>
    <w:rsid w:val="001433EE"/>
    <w:rsid w:val="00144695"/>
    <w:rsid w:val="0014483A"/>
    <w:rsid w:val="001463DD"/>
    <w:rsid w:val="001517EC"/>
    <w:rsid w:val="00151850"/>
    <w:rsid w:val="00151E53"/>
    <w:rsid w:val="00152324"/>
    <w:rsid w:val="00152955"/>
    <w:rsid w:val="00152A14"/>
    <w:rsid w:val="00152AED"/>
    <w:rsid w:val="001574C3"/>
    <w:rsid w:val="00157CE5"/>
    <w:rsid w:val="00157F80"/>
    <w:rsid w:val="00162D70"/>
    <w:rsid w:val="001636AF"/>
    <w:rsid w:val="0016486D"/>
    <w:rsid w:val="00166DBE"/>
    <w:rsid w:val="00171951"/>
    <w:rsid w:val="00172A27"/>
    <w:rsid w:val="00175E3E"/>
    <w:rsid w:val="001808AE"/>
    <w:rsid w:val="00181A04"/>
    <w:rsid w:val="00181C28"/>
    <w:rsid w:val="00184EE4"/>
    <w:rsid w:val="00185E3D"/>
    <w:rsid w:val="00186B88"/>
    <w:rsid w:val="001908CF"/>
    <w:rsid w:val="001914B8"/>
    <w:rsid w:val="00192807"/>
    <w:rsid w:val="001928BE"/>
    <w:rsid w:val="00195A28"/>
    <w:rsid w:val="0019607A"/>
    <w:rsid w:val="001A62BD"/>
    <w:rsid w:val="001B068D"/>
    <w:rsid w:val="001B077C"/>
    <w:rsid w:val="001B2097"/>
    <w:rsid w:val="001B36FE"/>
    <w:rsid w:val="001B4498"/>
    <w:rsid w:val="001B55AF"/>
    <w:rsid w:val="001B6F77"/>
    <w:rsid w:val="001B7203"/>
    <w:rsid w:val="001C1CEC"/>
    <w:rsid w:val="001C7021"/>
    <w:rsid w:val="001D017A"/>
    <w:rsid w:val="001D078D"/>
    <w:rsid w:val="001D19F4"/>
    <w:rsid w:val="001D2040"/>
    <w:rsid w:val="001D6FFB"/>
    <w:rsid w:val="001D7832"/>
    <w:rsid w:val="001D7DCC"/>
    <w:rsid w:val="001E0BB3"/>
    <w:rsid w:val="001E1495"/>
    <w:rsid w:val="001E4303"/>
    <w:rsid w:val="001E4497"/>
    <w:rsid w:val="001E461D"/>
    <w:rsid w:val="001E5D46"/>
    <w:rsid w:val="001E7F1F"/>
    <w:rsid w:val="001F0E84"/>
    <w:rsid w:val="002017F4"/>
    <w:rsid w:val="00201B6E"/>
    <w:rsid w:val="0020299E"/>
    <w:rsid w:val="002055AE"/>
    <w:rsid w:val="00210D17"/>
    <w:rsid w:val="00211B80"/>
    <w:rsid w:val="0021269F"/>
    <w:rsid w:val="002126B9"/>
    <w:rsid w:val="00212ACB"/>
    <w:rsid w:val="0021329B"/>
    <w:rsid w:val="00214AB1"/>
    <w:rsid w:val="00214C48"/>
    <w:rsid w:val="00215422"/>
    <w:rsid w:val="00215868"/>
    <w:rsid w:val="00216B6F"/>
    <w:rsid w:val="002208CD"/>
    <w:rsid w:val="0022291E"/>
    <w:rsid w:val="00223017"/>
    <w:rsid w:val="002275C1"/>
    <w:rsid w:val="0023156A"/>
    <w:rsid w:val="00231FEB"/>
    <w:rsid w:val="00237140"/>
    <w:rsid w:val="0023771E"/>
    <w:rsid w:val="0023772E"/>
    <w:rsid w:val="00240174"/>
    <w:rsid w:val="00240778"/>
    <w:rsid w:val="00240D1B"/>
    <w:rsid w:val="00241D19"/>
    <w:rsid w:val="00243B82"/>
    <w:rsid w:val="00246692"/>
    <w:rsid w:val="00247E18"/>
    <w:rsid w:val="002514B4"/>
    <w:rsid w:val="00253C7C"/>
    <w:rsid w:val="00253D95"/>
    <w:rsid w:val="00256C09"/>
    <w:rsid w:val="00256CFD"/>
    <w:rsid w:val="00260383"/>
    <w:rsid w:val="0026086C"/>
    <w:rsid w:val="00261833"/>
    <w:rsid w:val="00262B8B"/>
    <w:rsid w:val="00267B2C"/>
    <w:rsid w:val="00271CA6"/>
    <w:rsid w:val="00275859"/>
    <w:rsid w:val="0027586B"/>
    <w:rsid w:val="0027618B"/>
    <w:rsid w:val="00281A4C"/>
    <w:rsid w:val="002843A0"/>
    <w:rsid w:val="0028652C"/>
    <w:rsid w:val="0029044A"/>
    <w:rsid w:val="0029466A"/>
    <w:rsid w:val="0029671E"/>
    <w:rsid w:val="00297F03"/>
    <w:rsid w:val="002A10EF"/>
    <w:rsid w:val="002A3177"/>
    <w:rsid w:val="002A3444"/>
    <w:rsid w:val="002A73F9"/>
    <w:rsid w:val="002B0253"/>
    <w:rsid w:val="002B03ED"/>
    <w:rsid w:val="002B1A7D"/>
    <w:rsid w:val="002B2A97"/>
    <w:rsid w:val="002B3268"/>
    <w:rsid w:val="002B4EB5"/>
    <w:rsid w:val="002B5823"/>
    <w:rsid w:val="002B5EF2"/>
    <w:rsid w:val="002C186E"/>
    <w:rsid w:val="002C1B43"/>
    <w:rsid w:val="002C3393"/>
    <w:rsid w:val="002C6726"/>
    <w:rsid w:val="002D0251"/>
    <w:rsid w:val="002D152D"/>
    <w:rsid w:val="002D1E95"/>
    <w:rsid w:val="002D30E3"/>
    <w:rsid w:val="002D336E"/>
    <w:rsid w:val="002D63CD"/>
    <w:rsid w:val="002D7740"/>
    <w:rsid w:val="002E012C"/>
    <w:rsid w:val="002E0B02"/>
    <w:rsid w:val="002E13B4"/>
    <w:rsid w:val="002E1DE1"/>
    <w:rsid w:val="002E39B8"/>
    <w:rsid w:val="002E4018"/>
    <w:rsid w:val="002E4C84"/>
    <w:rsid w:val="002E7B1C"/>
    <w:rsid w:val="002F1ED6"/>
    <w:rsid w:val="002F5119"/>
    <w:rsid w:val="002F7CC1"/>
    <w:rsid w:val="00300274"/>
    <w:rsid w:val="00300953"/>
    <w:rsid w:val="003041A6"/>
    <w:rsid w:val="00305296"/>
    <w:rsid w:val="00314A09"/>
    <w:rsid w:val="00314EF8"/>
    <w:rsid w:val="003158F9"/>
    <w:rsid w:val="00321077"/>
    <w:rsid w:val="00322773"/>
    <w:rsid w:val="00322851"/>
    <w:rsid w:val="003231FA"/>
    <w:rsid w:val="00325519"/>
    <w:rsid w:val="00327907"/>
    <w:rsid w:val="00327B53"/>
    <w:rsid w:val="003313BB"/>
    <w:rsid w:val="00331EE6"/>
    <w:rsid w:val="003333B6"/>
    <w:rsid w:val="0033389B"/>
    <w:rsid w:val="00334465"/>
    <w:rsid w:val="0033477E"/>
    <w:rsid w:val="00335EDE"/>
    <w:rsid w:val="003372D5"/>
    <w:rsid w:val="0033751C"/>
    <w:rsid w:val="00342982"/>
    <w:rsid w:val="00344AF1"/>
    <w:rsid w:val="00345592"/>
    <w:rsid w:val="0034787E"/>
    <w:rsid w:val="00350277"/>
    <w:rsid w:val="0035287E"/>
    <w:rsid w:val="00352CBA"/>
    <w:rsid w:val="00353A90"/>
    <w:rsid w:val="00353F6D"/>
    <w:rsid w:val="00354EA0"/>
    <w:rsid w:val="00357085"/>
    <w:rsid w:val="003571EC"/>
    <w:rsid w:val="003577D8"/>
    <w:rsid w:val="00360F65"/>
    <w:rsid w:val="00362C90"/>
    <w:rsid w:val="003651B6"/>
    <w:rsid w:val="0036615C"/>
    <w:rsid w:val="00366875"/>
    <w:rsid w:val="00366A1D"/>
    <w:rsid w:val="00371385"/>
    <w:rsid w:val="00371891"/>
    <w:rsid w:val="00372B8B"/>
    <w:rsid w:val="00372C52"/>
    <w:rsid w:val="003747BF"/>
    <w:rsid w:val="0037723B"/>
    <w:rsid w:val="00382D88"/>
    <w:rsid w:val="003831E2"/>
    <w:rsid w:val="00391339"/>
    <w:rsid w:val="0039357C"/>
    <w:rsid w:val="003944F4"/>
    <w:rsid w:val="0039525E"/>
    <w:rsid w:val="00395558"/>
    <w:rsid w:val="00395D71"/>
    <w:rsid w:val="003961FE"/>
    <w:rsid w:val="00397CA2"/>
    <w:rsid w:val="003A1BB2"/>
    <w:rsid w:val="003A496E"/>
    <w:rsid w:val="003A76E1"/>
    <w:rsid w:val="003A7D64"/>
    <w:rsid w:val="003A7F72"/>
    <w:rsid w:val="003B2CF4"/>
    <w:rsid w:val="003B4096"/>
    <w:rsid w:val="003B5893"/>
    <w:rsid w:val="003B5AD4"/>
    <w:rsid w:val="003C0E22"/>
    <w:rsid w:val="003C1087"/>
    <w:rsid w:val="003C276F"/>
    <w:rsid w:val="003C3CB1"/>
    <w:rsid w:val="003C42E1"/>
    <w:rsid w:val="003C4CAC"/>
    <w:rsid w:val="003D03F1"/>
    <w:rsid w:val="003D18DF"/>
    <w:rsid w:val="003D29D6"/>
    <w:rsid w:val="003D4082"/>
    <w:rsid w:val="003D48D2"/>
    <w:rsid w:val="003D56C8"/>
    <w:rsid w:val="003D584A"/>
    <w:rsid w:val="003D5BB4"/>
    <w:rsid w:val="003E1536"/>
    <w:rsid w:val="003E386A"/>
    <w:rsid w:val="003E4458"/>
    <w:rsid w:val="003E6EE0"/>
    <w:rsid w:val="003E7331"/>
    <w:rsid w:val="003F02C3"/>
    <w:rsid w:val="003F09DB"/>
    <w:rsid w:val="003F1C9E"/>
    <w:rsid w:val="003F1E9C"/>
    <w:rsid w:val="003F7457"/>
    <w:rsid w:val="003F7E39"/>
    <w:rsid w:val="003F7ED5"/>
    <w:rsid w:val="004044E3"/>
    <w:rsid w:val="004052C9"/>
    <w:rsid w:val="00410F69"/>
    <w:rsid w:val="00410FB1"/>
    <w:rsid w:val="004123CF"/>
    <w:rsid w:val="00412440"/>
    <w:rsid w:val="0041418B"/>
    <w:rsid w:val="004163A7"/>
    <w:rsid w:val="00416625"/>
    <w:rsid w:val="00416B7C"/>
    <w:rsid w:val="00416E34"/>
    <w:rsid w:val="00416EF3"/>
    <w:rsid w:val="00417BA3"/>
    <w:rsid w:val="0042014A"/>
    <w:rsid w:val="00422898"/>
    <w:rsid w:val="0042388B"/>
    <w:rsid w:val="00424EB2"/>
    <w:rsid w:val="00425493"/>
    <w:rsid w:val="004270C3"/>
    <w:rsid w:val="00431F10"/>
    <w:rsid w:val="004327E0"/>
    <w:rsid w:val="00435136"/>
    <w:rsid w:val="00435410"/>
    <w:rsid w:val="00435728"/>
    <w:rsid w:val="00440733"/>
    <w:rsid w:val="0044079D"/>
    <w:rsid w:val="0044351A"/>
    <w:rsid w:val="0044665F"/>
    <w:rsid w:val="00446E31"/>
    <w:rsid w:val="00450376"/>
    <w:rsid w:val="0045152A"/>
    <w:rsid w:val="00452361"/>
    <w:rsid w:val="00453AFC"/>
    <w:rsid w:val="0045515F"/>
    <w:rsid w:val="00456453"/>
    <w:rsid w:val="00456B13"/>
    <w:rsid w:val="004602F1"/>
    <w:rsid w:val="0046071F"/>
    <w:rsid w:val="00471FF6"/>
    <w:rsid w:val="00475FF4"/>
    <w:rsid w:val="004773EE"/>
    <w:rsid w:val="00477C6D"/>
    <w:rsid w:val="004807CF"/>
    <w:rsid w:val="004810F7"/>
    <w:rsid w:val="00482006"/>
    <w:rsid w:val="00482286"/>
    <w:rsid w:val="00482FA5"/>
    <w:rsid w:val="0048425C"/>
    <w:rsid w:val="004852C5"/>
    <w:rsid w:val="00485958"/>
    <w:rsid w:val="00491CBD"/>
    <w:rsid w:val="00495557"/>
    <w:rsid w:val="00495D9D"/>
    <w:rsid w:val="004965EB"/>
    <w:rsid w:val="004A03DB"/>
    <w:rsid w:val="004A207A"/>
    <w:rsid w:val="004B43B3"/>
    <w:rsid w:val="004B4474"/>
    <w:rsid w:val="004B559B"/>
    <w:rsid w:val="004B6329"/>
    <w:rsid w:val="004B6E13"/>
    <w:rsid w:val="004B70E0"/>
    <w:rsid w:val="004B71B4"/>
    <w:rsid w:val="004B7569"/>
    <w:rsid w:val="004C08B9"/>
    <w:rsid w:val="004C130F"/>
    <w:rsid w:val="004C630D"/>
    <w:rsid w:val="004C7FA7"/>
    <w:rsid w:val="004D2DED"/>
    <w:rsid w:val="004D4D60"/>
    <w:rsid w:val="004D637B"/>
    <w:rsid w:val="004E1320"/>
    <w:rsid w:val="004E310E"/>
    <w:rsid w:val="004E3A34"/>
    <w:rsid w:val="004F1674"/>
    <w:rsid w:val="004F16B5"/>
    <w:rsid w:val="004F28A8"/>
    <w:rsid w:val="004F340A"/>
    <w:rsid w:val="004F64D8"/>
    <w:rsid w:val="004F727F"/>
    <w:rsid w:val="004F7CF3"/>
    <w:rsid w:val="004F7F32"/>
    <w:rsid w:val="00502B1B"/>
    <w:rsid w:val="00504E69"/>
    <w:rsid w:val="0050665B"/>
    <w:rsid w:val="005069C8"/>
    <w:rsid w:val="00506DFB"/>
    <w:rsid w:val="00511F65"/>
    <w:rsid w:val="00512121"/>
    <w:rsid w:val="00514127"/>
    <w:rsid w:val="00516C93"/>
    <w:rsid w:val="00522A82"/>
    <w:rsid w:val="00522FD7"/>
    <w:rsid w:val="00523C70"/>
    <w:rsid w:val="00523EE8"/>
    <w:rsid w:val="00524ADE"/>
    <w:rsid w:val="00525DAA"/>
    <w:rsid w:val="00526F01"/>
    <w:rsid w:val="00527CCB"/>
    <w:rsid w:val="00532A44"/>
    <w:rsid w:val="00532FCE"/>
    <w:rsid w:val="00533368"/>
    <w:rsid w:val="00533411"/>
    <w:rsid w:val="0053431E"/>
    <w:rsid w:val="0053444D"/>
    <w:rsid w:val="005360CC"/>
    <w:rsid w:val="00536167"/>
    <w:rsid w:val="00541D17"/>
    <w:rsid w:val="005458AB"/>
    <w:rsid w:val="00545AC2"/>
    <w:rsid w:val="00545C86"/>
    <w:rsid w:val="00547309"/>
    <w:rsid w:val="00547DDA"/>
    <w:rsid w:val="00550864"/>
    <w:rsid w:val="00551AC0"/>
    <w:rsid w:val="005531E1"/>
    <w:rsid w:val="00554645"/>
    <w:rsid w:val="0056133F"/>
    <w:rsid w:val="005616FB"/>
    <w:rsid w:val="00561C25"/>
    <w:rsid w:val="00565D20"/>
    <w:rsid w:val="00566DC9"/>
    <w:rsid w:val="00570558"/>
    <w:rsid w:val="0057380C"/>
    <w:rsid w:val="00575F4D"/>
    <w:rsid w:val="00576059"/>
    <w:rsid w:val="00576B85"/>
    <w:rsid w:val="005800E0"/>
    <w:rsid w:val="00580A3B"/>
    <w:rsid w:val="00580CBF"/>
    <w:rsid w:val="005817B5"/>
    <w:rsid w:val="00581C0E"/>
    <w:rsid w:val="00585B47"/>
    <w:rsid w:val="00593375"/>
    <w:rsid w:val="00594202"/>
    <w:rsid w:val="00597384"/>
    <w:rsid w:val="00597D77"/>
    <w:rsid w:val="005A6C22"/>
    <w:rsid w:val="005A7263"/>
    <w:rsid w:val="005B33BD"/>
    <w:rsid w:val="005B34D0"/>
    <w:rsid w:val="005B4930"/>
    <w:rsid w:val="005C155B"/>
    <w:rsid w:val="005C3C0E"/>
    <w:rsid w:val="005C4470"/>
    <w:rsid w:val="005C70CF"/>
    <w:rsid w:val="005D021C"/>
    <w:rsid w:val="005D0283"/>
    <w:rsid w:val="005D32F0"/>
    <w:rsid w:val="005D40CD"/>
    <w:rsid w:val="005D45B0"/>
    <w:rsid w:val="005E21C7"/>
    <w:rsid w:val="005E47AA"/>
    <w:rsid w:val="005E5D88"/>
    <w:rsid w:val="005E66FB"/>
    <w:rsid w:val="005F0E4F"/>
    <w:rsid w:val="005F166F"/>
    <w:rsid w:val="005F212B"/>
    <w:rsid w:val="005F3607"/>
    <w:rsid w:val="005F3D24"/>
    <w:rsid w:val="005F5732"/>
    <w:rsid w:val="005F6AE0"/>
    <w:rsid w:val="005F79C1"/>
    <w:rsid w:val="005F7D67"/>
    <w:rsid w:val="006002EE"/>
    <w:rsid w:val="006017EA"/>
    <w:rsid w:val="00602CFA"/>
    <w:rsid w:val="006044A9"/>
    <w:rsid w:val="006047B4"/>
    <w:rsid w:val="00605113"/>
    <w:rsid w:val="006057CE"/>
    <w:rsid w:val="00610614"/>
    <w:rsid w:val="00610B4F"/>
    <w:rsid w:val="00612D05"/>
    <w:rsid w:val="0062384B"/>
    <w:rsid w:val="006250DB"/>
    <w:rsid w:val="00626D52"/>
    <w:rsid w:val="00637C51"/>
    <w:rsid w:val="00640FC9"/>
    <w:rsid w:val="00643634"/>
    <w:rsid w:val="00643846"/>
    <w:rsid w:val="00644DC7"/>
    <w:rsid w:val="00645152"/>
    <w:rsid w:val="00645273"/>
    <w:rsid w:val="00645294"/>
    <w:rsid w:val="00645B9C"/>
    <w:rsid w:val="00647552"/>
    <w:rsid w:val="00650238"/>
    <w:rsid w:val="00651F99"/>
    <w:rsid w:val="006520B9"/>
    <w:rsid w:val="0065370A"/>
    <w:rsid w:val="00656DA0"/>
    <w:rsid w:val="00661576"/>
    <w:rsid w:val="00662729"/>
    <w:rsid w:val="00662C33"/>
    <w:rsid w:val="006645A5"/>
    <w:rsid w:val="00664F40"/>
    <w:rsid w:val="006655D4"/>
    <w:rsid w:val="00665CFD"/>
    <w:rsid w:val="00670763"/>
    <w:rsid w:val="00673501"/>
    <w:rsid w:val="00673953"/>
    <w:rsid w:val="00674BA0"/>
    <w:rsid w:val="00675452"/>
    <w:rsid w:val="00676734"/>
    <w:rsid w:val="00680D54"/>
    <w:rsid w:val="00682197"/>
    <w:rsid w:val="00685573"/>
    <w:rsid w:val="00685B58"/>
    <w:rsid w:val="00687C65"/>
    <w:rsid w:val="00690FF0"/>
    <w:rsid w:val="00693DF2"/>
    <w:rsid w:val="00693E8B"/>
    <w:rsid w:val="006950B5"/>
    <w:rsid w:val="006A1211"/>
    <w:rsid w:val="006A3B1E"/>
    <w:rsid w:val="006A64B4"/>
    <w:rsid w:val="006A7EA8"/>
    <w:rsid w:val="006B3010"/>
    <w:rsid w:val="006B41E6"/>
    <w:rsid w:val="006B5071"/>
    <w:rsid w:val="006B55DD"/>
    <w:rsid w:val="006B5783"/>
    <w:rsid w:val="006B6439"/>
    <w:rsid w:val="006B65EF"/>
    <w:rsid w:val="006B6BA4"/>
    <w:rsid w:val="006B726E"/>
    <w:rsid w:val="006C30BC"/>
    <w:rsid w:val="006C3FE4"/>
    <w:rsid w:val="006C4C3B"/>
    <w:rsid w:val="006C632C"/>
    <w:rsid w:val="006D0029"/>
    <w:rsid w:val="006D1AAE"/>
    <w:rsid w:val="006D217D"/>
    <w:rsid w:val="006D21CE"/>
    <w:rsid w:val="006D39C6"/>
    <w:rsid w:val="006D405A"/>
    <w:rsid w:val="006E0BF2"/>
    <w:rsid w:val="006E0D85"/>
    <w:rsid w:val="006E18C0"/>
    <w:rsid w:val="006E2DF0"/>
    <w:rsid w:val="006E3987"/>
    <w:rsid w:val="006E5E44"/>
    <w:rsid w:val="006E6169"/>
    <w:rsid w:val="006E654E"/>
    <w:rsid w:val="006F0DB2"/>
    <w:rsid w:val="006F15F0"/>
    <w:rsid w:val="006F216F"/>
    <w:rsid w:val="006F4AF0"/>
    <w:rsid w:val="006F52B8"/>
    <w:rsid w:val="006F5AB8"/>
    <w:rsid w:val="006F5B3B"/>
    <w:rsid w:val="00700051"/>
    <w:rsid w:val="00701C46"/>
    <w:rsid w:val="00702898"/>
    <w:rsid w:val="00703B0D"/>
    <w:rsid w:val="00703DF9"/>
    <w:rsid w:val="00705ACE"/>
    <w:rsid w:val="00705F58"/>
    <w:rsid w:val="00710574"/>
    <w:rsid w:val="00711265"/>
    <w:rsid w:val="00712798"/>
    <w:rsid w:val="00713C60"/>
    <w:rsid w:val="00713FD3"/>
    <w:rsid w:val="007162C5"/>
    <w:rsid w:val="007178AA"/>
    <w:rsid w:val="00720F63"/>
    <w:rsid w:val="007222C1"/>
    <w:rsid w:val="00724B3C"/>
    <w:rsid w:val="00725282"/>
    <w:rsid w:val="007266E9"/>
    <w:rsid w:val="00727184"/>
    <w:rsid w:val="007312E2"/>
    <w:rsid w:val="00731486"/>
    <w:rsid w:val="007314BF"/>
    <w:rsid w:val="00736E61"/>
    <w:rsid w:val="007378E1"/>
    <w:rsid w:val="007442CF"/>
    <w:rsid w:val="007443D6"/>
    <w:rsid w:val="007445E5"/>
    <w:rsid w:val="00747935"/>
    <w:rsid w:val="00751347"/>
    <w:rsid w:val="007545AD"/>
    <w:rsid w:val="00756472"/>
    <w:rsid w:val="007568D6"/>
    <w:rsid w:val="00756F6E"/>
    <w:rsid w:val="007576EA"/>
    <w:rsid w:val="00757E70"/>
    <w:rsid w:val="00761625"/>
    <w:rsid w:val="00761AE2"/>
    <w:rsid w:val="00765A2C"/>
    <w:rsid w:val="007669FB"/>
    <w:rsid w:val="007716BF"/>
    <w:rsid w:val="007732ED"/>
    <w:rsid w:val="00775451"/>
    <w:rsid w:val="007762D0"/>
    <w:rsid w:val="00777208"/>
    <w:rsid w:val="00777795"/>
    <w:rsid w:val="0078068F"/>
    <w:rsid w:val="007864A8"/>
    <w:rsid w:val="00790E2E"/>
    <w:rsid w:val="007915E3"/>
    <w:rsid w:val="0079392E"/>
    <w:rsid w:val="007958F5"/>
    <w:rsid w:val="00797B16"/>
    <w:rsid w:val="00797EBC"/>
    <w:rsid w:val="007A0567"/>
    <w:rsid w:val="007A2305"/>
    <w:rsid w:val="007A5CB0"/>
    <w:rsid w:val="007A5E85"/>
    <w:rsid w:val="007B42A0"/>
    <w:rsid w:val="007B4723"/>
    <w:rsid w:val="007B635D"/>
    <w:rsid w:val="007C08D6"/>
    <w:rsid w:val="007C35F0"/>
    <w:rsid w:val="007C4473"/>
    <w:rsid w:val="007C4B32"/>
    <w:rsid w:val="007C4C84"/>
    <w:rsid w:val="007C4CCC"/>
    <w:rsid w:val="007C598B"/>
    <w:rsid w:val="007C6AEC"/>
    <w:rsid w:val="007C6AEE"/>
    <w:rsid w:val="007C71AF"/>
    <w:rsid w:val="007D162A"/>
    <w:rsid w:val="007D4A30"/>
    <w:rsid w:val="007D526F"/>
    <w:rsid w:val="007D7003"/>
    <w:rsid w:val="007D71B0"/>
    <w:rsid w:val="007E0E52"/>
    <w:rsid w:val="007E60AC"/>
    <w:rsid w:val="007E60F3"/>
    <w:rsid w:val="007E699C"/>
    <w:rsid w:val="007F07C0"/>
    <w:rsid w:val="007F0B41"/>
    <w:rsid w:val="007F121B"/>
    <w:rsid w:val="007F3E85"/>
    <w:rsid w:val="008027CC"/>
    <w:rsid w:val="00803AA6"/>
    <w:rsid w:val="00807D07"/>
    <w:rsid w:val="00811078"/>
    <w:rsid w:val="00812538"/>
    <w:rsid w:val="00812AE1"/>
    <w:rsid w:val="00812CE9"/>
    <w:rsid w:val="00812E12"/>
    <w:rsid w:val="00813913"/>
    <w:rsid w:val="00813FDE"/>
    <w:rsid w:val="008146F5"/>
    <w:rsid w:val="00815B0A"/>
    <w:rsid w:val="0081759A"/>
    <w:rsid w:val="0082009D"/>
    <w:rsid w:val="008206B9"/>
    <w:rsid w:val="00822E2E"/>
    <w:rsid w:val="00823834"/>
    <w:rsid w:val="00823B7E"/>
    <w:rsid w:val="00824635"/>
    <w:rsid w:val="00824F81"/>
    <w:rsid w:val="00825D14"/>
    <w:rsid w:val="00825DC8"/>
    <w:rsid w:val="008278E7"/>
    <w:rsid w:val="0083100E"/>
    <w:rsid w:val="0083157A"/>
    <w:rsid w:val="0083218E"/>
    <w:rsid w:val="008334B6"/>
    <w:rsid w:val="00833770"/>
    <w:rsid w:val="00837FE4"/>
    <w:rsid w:val="0084017C"/>
    <w:rsid w:val="0084188C"/>
    <w:rsid w:val="008422EC"/>
    <w:rsid w:val="00842DCC"/>
    <w:rsid w:val="00843F81"/>
    <w:rsid w:val="00844F4E"/>
    <w:rsid w:val="00845A8A"/>
    <w:rsid w:val="00846ABB"/>
    <w:rsid w:val="008513F2"/>
    <w:rsid w:val="00853C7E"/>
    <w:rsid w:val="00856241"/>
    <w:rsid w:val="00857148"/>
    <w:rsid w:val="008572EC"/>
    <w:rsid w:val="00861812"/>
    <w:rsid w:val="00861F62"/>
    <w:rsid w:val="0086332E"/>
    <w:rsid w:val="0086408F"/>
    <w:rsid w:val="008653A6"/>
    <w:rsid w:val="00866615"/>
    <w:rsid w:val="00872606"/>
    <w:rsid w:val="008729B4"/>
    <w:rsid w:val="00873229"/>
    <w:rsid w:val="008736AE"/>
    <w:rsid w:val="00874F93"/>
    <w:rsid w:val="00876883"/>
    <w:rsid w:val="00881001"/>
    <w:rsid w:val="00882397"/>
    <w:rsid w:val="00883B8D"/>
    <w:rsid w:val="00885158"/>
    <w:rsid w:val="0089036D"/>
    <w:rsid w:val="008906C3"/>
    <w:rsid w:val="008920B4"/>
    <w:rsid w:val="0089301F"/>
    <w:rsid w:val="008959AA"/>
    <w:rsid w:val="008A0622"/>
    <w:rsid w:val="008A150B"/>
    <w:rsid w:val="008A4634"/>
    <w:rsid w:val="008A6349"/>
    <w:rsid w:val="008B409D"/>
    <w:rsid w:val="008B56AB"/>
    <w:rsid w:val="008B5A6E"/>
    <w:rsid w:val="008B5C47"/>
    <w:rsid w:val="008B6737"/>
    <w:rsid w:val="008B71FA"/>
    <w:rsid w:val="008C0D9E"/>
    <w:rsid w:val="008C27DF"/>
    <w:rsid w:val="008C353A"/>
    <w:rsid w:val="008C35DE"/>
    <w:rsid w:val="008C3615"/>
    <w:rsid w:val="008C376F"/>
    <w:rsid w:val="008C4B99"/>
    <w:rsid w:val="008D17AE"/>
    <w:rsid w:val="008D303A"/>
    <w:rsid w:val="008D3E30"/>
    <w:rsid w:val="008D3F9E"/>
    <w:rsid w:val="008D44C5"/>
    <w:rsid w:val="008E1A31"/>
    <w:rsid w:val="008E21DF"/>
    <w:rsid w:val="008E6979"/>
    <w:rsid w:val="008E6D2A"/>
    <w:rsid w:val="008E7DDC"/>
    <w:rsid w:val="008F0630"/>
    <w:rsid w:val="008F1528"/>
    <w:rsid w:val="008F3037"/>
    <w:rsid w:val="008F6E4E"/>
    <w:rsid w:val="008F71D2"/>
    <w:rsid w:val="009015B9"/>
    <w:rsid w:val="0090333A"/>
    <w:rsid w:val="00904E2B"/>
    <w:rsid w:val="00904F7D"/>
    <w:rsid w:val="009067D7"/>
    <w:rsid w:val="00907114"/>
    <w:rsid w:val="0091198F"/>
    <w:rsid w:val="00913A1C"/>
    <w:rsid w:val="00914570"/>
    <w:rsid w:val="0091796E"/>
    <w:rsid w:val="009202BA"/>
    <w:rsid w:val="00921B40"/>
    <w:rsid w:val="00926A97"/>
    <w:rsid w:val="009277FD"/>
    <w:rsid w:val="0093173C"/>
    <w:rsid w:val="00932412"/>
    <w:rsid w:val="0093310F"/>
    <w:rsid w:val="00933E21"/>
    <w:rsid w:val="0093472F"/>
    <w:rsid w:val="00935AD4"/>
    <w:rsid w:val="009473D2"/>
    <w:rsid w:val="0095118F"/>
    <w:rsid w:val="00954998"/>
    <w:rsid w:val="0095756F"/>
    <w:rsid w:val="00960D55"/>
    <w:rsid w:val="00961282"/>
    <w:rsid w:val="00964301"/>
    <w:rsid w:val="009677D4"/>
    <w:rsid w:val="009708B8"/>
    <w:rsid w:val="00973A73"/>
    <w:rsid w:val="009743F8"/>
    <w:rsid w:val="00975B9D"/>
    <w:rsid w:val="00976120"/>
    <w:rsid w:val="00976941"/>
    <w:rsid w:val="00976E4E"/>
    <w:rsid w:val="0097775C"/>
    <w:rsid w:val="00982223"/>
    <w:rsid w:val="009852E3"/>
    <w:rsid w:val="00990EF7"/>
    <w:rsid w:val="00994380"/>
    <w:rsid w:val="009962C2"/>
    <w:rsid w:val="009A1323"/>
    <w:rsid w:val="009A21F1"/>
    <w:rsid w:val="009A3211"/>
    <w:rsid w:val="009A364B"/>
    <w:rsid w:val="009A6CA7"/>
    <w:rsid w:val="009A6ED8"/>
    <w:rsid w:val="009A6F26"/>
    <w:rsid w:val="009A7284"/>
    <w:rsid w:val="009B05DF"/>
    <w:rsid w:val="009B158B"/>
    <w:rsid w:val="009B1BF7"/>
    <w:rsid w:val="009B3A72"/>
    <w:rsid w:val="009B491D"/>
    <w:rsid w:val="009B75F5"/>
    <w:rsid w:val="009C0E73"/>
    <w:rsid w:val="009C1D22"/>
    <w:rsid w:val="009C1F89"/>
    <w:rsid w:val="009C2197"/>
    <w:rsid w:val="009C2B94"/>
    <w:rsid w:val="009C2DB4"/>
    <w:rsid w:val="009C4F0C"/>
    <w:rsid w:val="009D0B9A"/>
    <w:rsid w:val="009D0F44"/>
    <w:rsid w:val="009D37EA"/>
    <w:rsid w:val="009D5179"/>
    <w:rsid w:val="009D67AC"/>
    <w:rsid w:val="009D79CA"/>
    <w:rsid w:val="009E03A8"/>
    <w:rsid w:val="009E3915"/>
    <w:rsid w:val="009F0603"/>
    <w:rsid w:val="009F090B"/>
    <w:rsid w:val="009F17E9"/>
    <w:rsid w:val="009F23E7"/>
    <w:rsid w:val="009F3AF9"/>
    <w:rsid w:val="009F40B9"/>
    <w:rsid w:val="009F50BF"/>
    <w:rsid w:val="009F52B7"/>
    <w:rsid w:val="009F5AD0"/>
    <w:rsid w:val="009F6112"/>
    <w:rsid w:val="009F6F5E"/>
    <w:rsid w:val="00A044E7"/>
    <w:rsid w:val="00A04948"/>
    <w:rsid w:val="00A04DAE"/>
    <w:rsid w:val="00A058AD"/>
    <w:rsid w:val="00A10E8D"/>
    <w:rsid w:val="00A12A39"/>
    <w:rsid w:val="00A1493A"/>
    <w:rsid w:val="00A15FDF"/>
    <w:rsid w:val="00A20751"/>
    <w:rsid w:val="00A228E1"/>
    <w:rsid w:val="00A2340D"/>
    <w:rsid w:val="00A23660"/>
    <w:rsid w:val="00A2393C"/>
    <w:rsid w:val="00A245ED"/>
    <w:rsid w:val="00A2496E"/>
    <w:rsid w:val="00A24991"/>
    <w:rsid w:val="00A25E18"/>
    <w:rsid w:val="00A26312"/>
    <w:rsid w:val="00A26ACA"/>
    <w:rsid w:val="00A27897"/>
    <w:rsid w:val="00A30969"/>
    <w:rsid w:val="00A30E4F"/>
    <w:rsid w:val="00A32126"/>
    <w:rsid w:val="00A35251"/>
    <w:rsid w:val="00A405E5"/>
    <w:rsid w:val="00A41A8C"/>
    <w:rsid w:val="00A4334B"/>
    <w:rsid w:val="00A4459D"/>
    <w:rsid w:val="00A45342"/>
    <w:rsid w:val="00A45622"/>
    <w:rsid w:val="00A46A07"/>
    <w:rsid w:val="00A538B0"/>
    <w:rsid w:val="00A547F7"/>
    <w:rsid w:val="00A54B77"/>
    <w:rsid w:val="00A55084"/>
    <w:rsid w:val="00A558DB"/>
    <w:rsid w:val="00A561E7"/>
    <w:rsid w:val="00A566C7"/>
    <w:rsid w:val="00A56A27"/>
    <w:rsid w:val="00A56CE9"/>
    <w:rsid w:val="00A57F03"/>
    <w:rsid w:val="00A60385"/>
    <w:rsid w:val="00A60B5B"/>
    <w:rsid w:val="00A626B1"/>
    <w:rsid w:val="00A67A12"/>
    <w:rsid w:val="00A70041"/>
    <w:rsid w:val="00A7091D"/>
    <w:rsid w:val="00A72176"/>
    <w:rsid w:val="00A758BF"/>
    <w:rsid w:val="00A75D6F"/>
    <w:rsid w:val="00A7606E"/>
    <w:rsid w:val="00A763D9"/>
    <w:rsid w:val="00A80F4C"/>
    <w:rsid w:val="00A81946"/>
    <w:rsid w:val="00A905C4"/>
    <w:rsid w:val="00A90615"/>
    <w:rsid w:val="00A9235C"/>
    <w:rsid w:val="00A92750"/>
    <w:rsid w:val="00A9375A"/>
    <w:rsid w:val="00A93A5A"/>
    <w:rsid w:val="00A95045"/>
    <w:rsid w:val="00A95E04"/>
    <w:rsid w:val="00AA084A"/>
    <w:rsid w:val="00AA0C44"/>
    <w:rsid w:val="00AA2D9B"/>
    <w:rsid w:val="00AA408A"/>
    <w:rsid w:val="00AA6E1B"/>
    <w:rsid w:val="00AB0498"/>
    <w:rsid w:val="00AB07E2"/>
    <w:rsid w:val="00AB0F8F"/>
    <w:rsid w:val="00AB1262"/>
    <w:rsid w:val="00AB2159"/>
    <w:rsid w:val="00AB2442"/>
    <w:rsid w:val="00AB2B07"/>
    <w:rsid w:val="00AB4855"/>
    <w:rsid w:val="00AB4A53"/>
    <w:rsid w:val="00AB60C7"/>
    <w:rsid w:val="00AB649D"/>
    <w:rsid w:val="00AC5A93"/>
    <w:rsid w:val="00AC71E4"/>
    <w:rsid w:val="00AC73A7"/>
    <w:rsid w:val="00AD1743"/>
    <w:rsid w:val="00AD2931"/>
    <w:rsid w:val="00AD2A3E"/>
    <w:rsid w:val="00AD2CBE"/>
    <w:rsid w:val="00AD3B9C"/>
    <w:rsid w:val="00AD4A97"/>
    <w:rsid w:val="00AD55FF"/>
    <w:rsid w:val="00AD5D12"/>
    <w:rsid w:val="00AD6280"/>
    <w:rsid w:val="00AD6894"/>
    <w:rsid w:val="00AE3B16"/>
    <w:rsid w:val="00AE3E5B"/>
    <w:rsid w:val="00AE6EA2"/>
    <w:rsid w:val="00AE6F48"/>
    <w:rsid w:val="00AE7E82"/>
    <w:rsid w:val="00AF0717"/>
    <w:rsid w:val="00AF1A39"/>
    <w:rsid w:val="00AF1B5E"/>
    <w:rsid w:val="00AF22EE"/>
    <w:rsid w:val="00AF38F7"/>
    <w:rsid w:val="00AF45C0"/>
    <w:rsid w:val="00AF4C29"/>
    <w:rsid w:val="00AF69D0"/>
    <w:rsid w:val="00AF7995"/>
    <w:rsid w:val="00B012E2"/>
    <w:rsid w:val="00B03344"/>
    <w:rsid w:val="00B03990"/>
    <w:rsid w:val="00B04E17"/>
    <w:rsid w:val="00B059BB"/>
    <w:rsid w:val="00B05A70"/>
    <w:rsid w:val="00B0600C"/>
    <w:rsid w:val="00B065CC"/>
    <w:rsid w:val="00B06844"/>
    <w:rsid w:val="00B07168"/>
    <w:rsid w:val="00B071CB"/>
    <w:rsid w:val="00B12254"/>
    <w:rsid w:val="00B12A6B"/>
    <w:rsid w:val="00B13D2D"/>
    <w:rsid w:val="00B17587"/>
    <w:rsid w:val="00B177A9"/>
    <w:rsid w:val="00B21287"/>
    <w:rsid w:val="00B23C0B"/>
    <w:rsid w:val="00B250FA"/>
    <w:rsid w:val="00B25DB6"/>
    <w:rsid w:val="00B330E9"/>
    <w:rsid w:val="00B34C64"/>
    <w:rsid w:val="00B34F04"/>
    <w:rsid w:val="00B35E1E"/>
    <w:rsid w:val="00B35E2D"/>
    <w:rsid w:val="00B36ED9"/>
    <w:rsid w:val="00B42825"/>
    <w:rsid w:val="00B43DC1"/>
    <w:rsid w:val="00B45FAD"/>
    <w:rsid w:val="00B47030"/>
    <w:rsid w:val="00B47268"/>
    <w:rsid w:val="00B477C3"/>
    <w:rsid w:val="00B47F99"/>
    <w:rsid w:val="00B50B31"/>
    <w:rsid w:val="00B5175A"/>
    <w:rsid w:val="00B520ED"/>
    <w:rsid w:val="00B52C88"/>
    <w:rsid w:val="00B5335A"/>
    <w:rsid w:val="00B53E4A"/>
    <w:rsid w:val="00B53EA6"/>
    <w:rsid w:val="00B54EB8"/>
    <w:rsid w:val="00B553E4"/>
    <w:rsid w:val="00B555F7"/>
    <w:rsid w:val="00B55996"/>
    <w:rsid w:val="00B56157"/>
    <w:rsid w:val="00B575C6"/>
    <w:rsid w:val="00B57CF7"/>
    <w:rsid w:val="00B60753"/>
    <w:rsid w:val="00B60C6B"/>
    <w:rsid w:val="00B62F4E"/>
    <w:rsid w:val="00B65A94"/>
    <w:rsid w:val="00B66CB7"/>
    <w:rsid w:val="00B66E0C"/>
    <w:rsid w:val="00B72F1F"/>
    <w:rsid w:val="00B758E4"/>
    <w:rsid w:val="00B75F56"/>
    <w:rsid w:val="00B77D70"/>
    <w:rsid w:val="00B80EA5"/>
    <w:rsid w:val="00B8115D"/>
    <w:rsid w:val="00B8165C"/>
    <w:rsid w:val="00B82CA5"/>
    <w:rsid w:val="00B82E17"/>
    <w:rsid w:val="00B8409A"/>
    <w:rsid w:val="00B86243"/>
    <w:rsid w:val="00B86CCB"/>
    <w:rsid w:val="00B90B80"/>
    <w:rsid w:val="00B91DAF"/>
    <w:rsid w:val="00B92380"/>
    <w:rsid w:val="00B92EBA"/>
    <w:rsid w:val="00B9301D"/>
    <w:rsid w:val="00B94C6D"/>
    <w:rsid w:val="00B95CFC"/>
    <w:rsid w:val="00BA0866"/>
    <w:rsid w:val="00BA16E0"/>
    <w:rsid w:val="00BA24F5"/>
    <w:rsid w:val="00BA42AA"/>
    <w:rsid w:val="00BA6D97"/>
    <w:rsid w:val="00BB0F6C"/>
    <w:rsid w:val="00BB3912"/>
    <w:rsid w:val="00BB4269"/>
    <w:rsid w:val="00BB711E"/>
    <w:rsid w:val="00BB7207"/>
    <w:rsid w:val="00BC0D87"/>
    <w:rsid w:val="00BC1D27"/>
    <w:rsid w:val="00BC3386"/>
    <w:rsid w:val="00BC507E"/>
    <w:rsid w:val="00BC54C7"/>
    <w:rsid w:val="00BC6452"/>
    <w:rsid w:val="00BD079C"/>
    <w:rsid w:val="00BD3296"/>
    <w:rsid w:val="00BD40B9"/>
    <w:rsid w:val="00BD5347"/>
    <w:rsid w:val="00BD6EE2"/>
    <w:rsid w:val="00BE0FB1"/>
    <w:rsid w:val="00BE1E01"/>
    <w:rsid w:val="00BE209C"/>
    <w:rsid w:val="00BE31E1"/>
    <w:rsid w:val="00BE411E"/>
    <w:rsid w:val="00BE7F30"/>
    <w:rsid w:val="00BF374C"/>
    <w:rsid w:val="00BF48C3"/>
    <w:rsid w:val="00C007BD"/>
    <w:rsid w:val="00C00AC5"/>
    <w:rsid w:val="00C00C7E"/>
    <w:rsid w:val="00C02089"/>
    <w:rsid w:val="00C0383E"/>
    <w:rsid w:val="00C20145"/>
    <w:rsid w:val="00C217C7"/>
    <w:rsid w:val="00C232C3"/>
    <w:rsid w:val="00C2547C"/>
    <w:rsid w:val="00C27B94"/>
    <w:rsid w:val="00C31F21"/>
    <w:rsid w:val="00C346EC"/>
    <w:rsid w:val="00C36FBD"/>
    <w:rsid w:val="00C40EDA"/>
    <w:rsid w:val="00C421A9"/>
    <w:rsid w:val="00C421F8"/>
    <w:rsid w:val="00C42F19"/>
    <w:rsid w:val="00C4676C"/>
    <w:rsid w:val="00C511F9"/>
    <w:rsid w:val="00C51D56"/>
    <w:rsid w:val="00C55A57"/>
    <w:rsid w:val="00C56A4F"/>
    <w:rsid w:val="00C57088"/>
    <w:rsid w:val="00C62C2D"/>
    <w:rsid w:val="00C630A0"/>
    <w:rsid w:val="00C636C7"/>
    <w:rsid w:val="00C65013"/>
    <w:rsid w:val="00C6632D"/>
    <w:rsid w:val="00C70160"/>
    <w:rsid w:val="00C7275D"/>
    <w:rsid w:val="00C74142"/>
    <w:rsid w:val="00C77791"/>
    <w:rsid w:val="00C81187"/>
    <w:rsid w:val="00C8217C"/>
    <w:rsid w:val="00C8418D"/>
    <w:rsid w:val="00C84281"/>
    <w:rsid w:val="00C843C2"/>
    <w:rsid w:val="00C84A0C"/>
    <w:rsid w:val="00C85432"/>
    <w:rsid w:val="00C87155"/>
    <w:rsid w:val="00C87B29"/>
    <w:rsid w:val="00C90626"/>
    <w:rsid w:val="00C91471"/>
    <w:rsid w:val="00C92DEF"/>
    <w:rsid w:val="00C94E50"/>
    <w:rsid w:val="00C96FB5"/>
    <w:rsid w:val="00C97045"/>
    <w:rsid w:val="00C973CB"/>
    <w:rsid w:val="00CA10C8"/>
    <w:rsid w:val="00CA4CF1"/>
    <w:rsid w:val="00CA576C"/>
    <w:rsid w:val="00CA66D6"/>
    <w:rsid w:val="00CA6F0F"/>
    <w:rsid w:val="00CA75CB"/>
    <w:rsid w:val="00CA77F2"/>
    <w:rsid w:val="00CB323A"/>
    <w:rsid w:val="00CB376F"/>
    <w:rsid w:val="00CB5986"/>
    <w:rsid w:val="00CC1DE2"/>
    <w:rsid w:val="00CC483D"/>
    <w:rsid w:val="00CC5851"/>
    <w:rsid w:val="00CD1DD9"/>
    <w:rsid w:val="00CD2508"/>
    <w:rsid w:val="00CD2EE1"/>
    <w:rsid w:val="00CD3256"/>
    <w:rsid w:val="00CD49A5"/>
    <w:rsid w:val="00CD5CE9"/>
    <w:rsid w:val="00CD6404"/>
    <w:rsid w:val="00CE2B12"/>
    <w:rsid w:val="00CF29B0"/>
    <w:rsid w:val="00CF465B"/>
    <w:rsid w:val="00CF4F2F"/>
    <w:rsid w:val="00CF5AD5"/>
    <w:rsid w:val="00CF6FA4"/>
    <w:rsid w:val="00D00CC3"/>
    <w:rsid w:val="00D00FE6"/>
    <w:rsid w:val="00D01741"/>
    <w:rsid w:val="00D01873"/>
    <w:rsid w:val="00D03B80"/>
    <w:rsid w:val="00D07853"/>
    <w:rsid w:val="00D109AA"/>
    <w:rsid w:val="00D116D1"/>
    <w:rsid w:val="00D120DA"/>
    <w:rsid w:val="00D1357B"/>
    <w:rsid w:val="00D14B16"/>
    <w:rsid w:val="00D15F6A"/>
    <w:rsid w:val="00D17F28"/>
    <w:rsid w:val="00D20364"/>
    <w:rsid w:val="00D2740A"/>
    <w:rsid w:val="00D3070C"/>
    <w:rsid w:val="00D3151B"/>
    <w:rsid w:val="00D31BF3"/>
    <w:rsid w:val="00D32A81"/>
    <w:rsid w:val="00D362D5"/>
    <w:rsid w:val="00D40FB7"/>
    <w:rsid w:val="00D419D2"/>
    <w:rsid w:val="00D421C8"/>
    <w:rsid w:val="00D438C1"/>
    <w:rsid w:val="00D46E85"/>
    <w:rsid w:val="00D50420"/>
    <w:rsid w:val="00D50A64"/>
    <w:rsid w:val="00D51659"/>
    <w:rsid w:val="00D51B5B"/>
    <w:rsid w:val="00D51F65"/>
    <w:rsid w:val="00D53B8C"/>
    <w:rsid w:val="00D557D5"/>
    <w:rsid w:val="00D56AE6"/>
    <w:rsid w:val="00D57A86"/>
    <w:rsid w:val="00D57C5D"/>
    <w:rsid w:val="00D606A2"/>
    <w:rsid w:val="00D6217B"/>
    <w:rsid w:val="00D621FC"/>
    <w:rsid w:val="00D62E08"/>
    <w:rsid w:val="00D65D41"/>
    <w:rsid w:val="00D74162"/>
    <w:rsid w:val="00D74510"/>
    <w:rsid w:val="00D8055A"/>
    <w:rsid w:val="00D80755"/>
    <w:rsid w:val="00D8177F"/>
    <w:rsid w:val="00D826FE"/>
    <w:rsid w:val="00D834B1"/>
    <w:rsid w:val="00D90E3C"/>
    <w:rsid w:val="00D92B65"/>
    <w:rsid w:val="00D94C0D"/>
    <w:rsid w:val="00D96004"/>
    <w:rsid w:val="00D96068"/>
    <w:rsid w:val="00D96D9C"/>
    <w:rsid w:val="00D97A8D"/>
    <w:rsid w:val="00DA198B"/>
    <w:rsid w:val="00DA20FA"/>
    <w:rsid w:val="00DA2D3C"/>
    <w:rsid w:val="00DA5653"/>
    <w:rsid w:val="00DA7998"/>
    <w:rsid w:val="00DB01EE"/>
    <w:rsid w:val="00DB1A82"/>
    <w:rsid w:val="00DB2B57"/>
    <w:rsid w:val="00DB2FF6"/>
    <w:rsid w:val="00DB3CC3"/>
    <w:rsid w:val="00DB4F75"/>
    <w:rsid w:val="00DB5882"/>
    <w:rsid w:val="00DB63E2"/>
    <w:rsid w:val="00DC07C6"/>
    <w:rsid w:val="00DC1A39"/>
    <w:rsid w:val="00DC3DDE"/>
    <w:rsid w:val="00DC493F"/>
    <w:rsid w:val="00DC575A"/>
    <w:rsid w:val="00DC5D15"/>
    <w:rsid w:val="00DD0F8F"/>
    <w:rsid w:val="00DD1FCD"/>
    <w:rsid w:val="00DD3176"/>
    <w:rsid w:val="00DD4300"/>
    <w:rsid w:val="00DD5147"/>
    <w:rsid w:val="00DD53EB"/>
    <w:rsid w:val="00DD62ED"/>
    <w:rsid w:val="00DD6FC4"/>
    <w:rsid w:val="00DE2F0E"/>
    <w:rsid w:val="00DE3134"/>
    <w:rsid w:val="00DE3FB0"/>
    <w:rsid w:val="00DE53FA"/>
    <w:rsid w:val="00DE5507"/>
    <w:rsid w:val="00DF2FA9"/>
    <w:rsid w:val="00DF32C7"/>
    <w:rsid w:val="00DF5BDB"/>
    <w:rsid w:val="00DF6806"/>
    <w:rsid w:val="00DF7862"/>
    <w:rsid w:val="00E005EA"/>
    <w:rsid w:val="00E012B7"/>
    <w:rsid w:val="00E014CA"/>
    <w:rsid w:val="00E03F69"/>
    <w:rsid w:val="00E04556"/>
    <w:rsid w:val="00E04E92"/>
    <w:rsid w:val="00E1015A"/>
    <w:rsid w:val="00E109D5"/>
    <w:rsid w:val="00E110EF"/>
    <w:rsid w:val="00E1644E"/>
    <w:rsid w:val="00E25520"/>
    <w:rsid w:val="00E26ADD"/>
    <w:rsid w:val="00E303CE"/>
    <w:rsid w:val="00E304A0"/>
    <w:rsid w:val="00E30808"/>
    <w:rsid w:val="00E30ECB"/>
    <w:rsid w:val="00E32AA6"/>
    <w:rsid w:val="00E33260"/>
    <w:rsid w:val="00E33C1C"/>
    <w:rsid w:val="00E35A54"/>
    <w:rsid w:val="00E35B9B"/>
    <w:rsid w:val="00E35DC2"/>
    <w:rsid w:val="00E4347C"/>
    <w:rsid w:val="00E441BE"/>
    <w:rsid w:val="00E45490"/>
    <w:rsid w:val="00E46EAB"/>
    <w:rsid w:val="00E50E6E"/>
    <w:rsid w:val="00E5269D"/>
    <w:rsid w:val="00E52BED"/>
    <w:rsid w:val="00E5379D"/>
    <w:rsid w:val="00E537B5"/>
    <w:rsid w:val="00E5399F"/>
    <w:rsid w:val="00E60049"/>
    <w:rsid w:val="00E6115F"/>
    <w:rsid w:val="00E620D2"/>
    <w:rsid w:val="00E622F6"/>
    <w:rsid w:val="00E62ED3"/>
    <w:rsid w:val="00E632A7"/>
    <w:rsid w:val="00E654F5"/>
    <w:rsid w:val="00E676C8"/>
    <w:rsid w:val="00E678FA"/>
    <w:rsid w:val="00E67B78"/>
    <w:rsid w:val="00E70117"/>
    <w:rsid w:val="00E721E1"/>
    <w:rsid w:val="00E74BDB"/>
    <w:rsid w:val="00E75605"/>
    <w:rsid w:val="00E75BBE"/>
    <w:rsid w:val="00E77CD7"/>
    <w:rsid w:val="00E84428"/>
    <w:rsid w:val="00E84CBC"/>
    <w:rsid w:val="00E84E0F"/>
    <w:rsid w:val="00E90E73"/>
    <w:rsid w:val="00E91A2A"/>
    <w:rsid w:val="00E925EC"/>
    <w:rsid w:val="00E95F12"/>
    <w:rsid w:val="00E963E1"/>
    <w:rsid w:val="00E97FF4"/>
    <w:rsid w:val="00EA0E51"/>
    <w:rsid w:val="00EA0EE8"/>
    <w:rsid w:val="00EA2BD1"/>
    <w:rsid w:val="00EA4C51"/>
    <w:rsid w:val="00EA4EDA"/>
    <w:rsid w:val="00EA508B"/>
    <w:rsid w:val="00EA5550"/>
    <w:rsid w:val="00EA5948"/>
    <w:rsid w:val="00EA640D"/>
    <w:rsid w:val="00EA6FED"/>
    <w:rsid w:val="00EB0D7C"/>
    <w:rsid w:val="00EB56D9"/>
    <w:rsid w:val="00EB5D95"/>
    <w:rsid w:val="00EB70FC"/>
    <w:rsid w:val="00EB790B"/>
    <w:rsid w:val="00EB7BDA"/>
    <w:rsid w:val="00EC3871"/>
    <w:rsid w:val="00EC418F"/>
    <w:rsid w:val="00EC4BC6"/>
    <w:rsid w:val="00EC4DE3"/>
    <w:rsid w:val="00ED0B50"/>
    <w:rsid w:val="00ED190E"/>
    <w:rsid w:val="00ED3CEA"/>
    <w:rsid w:val="00ED70A3"/>
    <w:rsid w:val="00EE161D"/>
    <w:rsid w:val="00EE3272"/>
    <w:rsid w:val="00EE342E"/>
    <w:rsid w:val="00EE37BF"/>
    <w:rsid w:val="00EF1753"/>
    <w:rsid w:val="00EF19CC"/>
    <w:rsid w:val="00EF1BAB"/>
    <w:rsid w:val="00EF37EB"/>
    <w:rsid w:val="00EF772D"/>
    <w:rsid w:val="00EF7AE7"/>
    <w:rsid w:val="00F00269"/>
    <w:rsid w:val="00F006A5"/>
    <w:rsid w:val="00F02B28"/>
    <w:rsid w:val="00F02D53"/>
    <w:rsid w:val="00F03315"/>
    <w:rsid w:val="00F03546"/>
    <w:rsid w:val="00F039A7"/>
    <w:rsid w:val="00F03DA0"/>
    <w:rsid w:val="00F045EB"/>
    <w:rsid w:val="00F06B13"/>
    <w:rsid w:val="00F07AD1"/>
    <w:rsid w:val="00F11F72"/>
    <w:rsid w:val="00F12928"/>
    <w:rsid w:val="00F13538"/>
    <w:rsid w:val="00F17218"/>
    <w:rsid w:val="00F1732E"/>
    <w:rsid w:val="00F23889"/>
    <w:rsid w:val="00F2444F"/>
    <w:rsid w:val="00F30D00"/>
    <w:rsid w:val="00F31506"/>
    <w:rsid w:val="00F32081"/>
    <w:rsid w:val="00F3329A"/>
    <w:rsid w:val="00F3366C"/>
    <w:rsid w:val="00F33BEC"/>
    <w:rsid w:val="00F33EE2"/>
    <w:rsid w:val="00F344C6"/>
    <w:rsid w:val="00F378C5"/>
    <w:rsid w:val="00F37E48"/>
    <w:rsid w:val="00F41ABD"/>
    <w:rsid w:val="00F45E93"/>
    <w:rsid w:val="00F5085B"/>
    <w:rsid w:val="00F51EB1"/>
    <w:rsid w:val="00F53A33"/>
    <w:rsid w:val="00F543AF"/>
    <w:rsid w:val="00F56906"/>
    <w:rsid w:val="00F56C50"/>
    <w:rsid w:val="00F60A14"/>
    <w:rsid w:val="00F619DF"/>
    <w:rsid w:val="00F630C9"/>
    <w:rsid w:val="00F649F3"/>
    <w:rsid w:val="00F703E3"/>
    <w:rsid w:val="00F7055A"/>
    <w:rsid w:val="00F70672"/>
    <w:rsid w:val="00F708C3"/>
    <w:rsid w:val="00F70CB2"/>
    <w:rsid w:val="00F72011"/>
    <w:rsid w:val="00F7572D"/>
    <w:rsid w:val="00F7695F"/>
    <w:rsid w:val="00F76D51"/>
    <w:rsid w:val="00F80FBC"/>
    <w:rsid w:val="00F83007"/>
    <w:rsid w:val="00F9202D"/>
    <w:rsid w:val="00F949C9"/>
    <w:rsid w:val="00F97F91"/>
    <w:rsid w:val="00FA069B"/>
    <w:rsid w:val="00FA6FF6"/>
    <w:rsid w:val="00FA7BEC"/>
    <w:rsid w:val="00FA7E08"/>
    <w:rsid w:val="00FB0349"/>
    <w:rsid w:val="00FB14C7"/>
    <w:rsid w:val="00FB1F3D"/>
    <w:rsid w:val="00FB361A"/>
    <w:rsid w:val="00FB7B7B"/>
    <w:rsid w:val="00FC0299"/>
    <w:rsid w:val="00FC0A8F"/>
    <w:rsid w:val="00FC2319"/>
    <w:rsid w:val="00FC4295"/>
    <w:rsid w:val="00FC7A25"/>
    <w:rsid w:val="00FD0EE2"/>
    <w:rsid w:val="00FD2D21"/>
    <w:rsid w:val="00FD4BD9"/>
    <w:rsid w:val="00FD4D2A"/>
    <w:rsid w:val="00FD65A3"/>
    <w:rsid w:val="00FD6817"/>
    <w:rsid w:val="00FD6C75"/>
    <w:rsid w:val="00FE494A"/>
    <w:rsid w:val="00FF0F9F"/>
    <w:rsid w:val="00FF2D39"/>
    <w:rsid w:val="00FF359F"/>
    <w:rsid w:val="00FF3D2C"/>
    <w:rsid w:val="00FF3D6C"/>
    <w:rsid w:val="00FF5128"/>
    <w:rsid w:val="00FF5C25"/>
    <w:rsid w:val="00FF6186"/>
    <w:rsid w:val="01A2719B"/>
    <w:rsid w:val="01AF2C21"/>
    <w:rsid w:val="01D32558"/>
    <w:rsid w:val="02104022"/>
    <w:rsid w:val="02C7143F"/>
    <w:rsid w:val="03012A46"/>
    <w:rsid w:val="035F6345"/>
    <w:rsid w:val="036C34DA"/>
    <w:rsid w:val="03D355F0"/>
    <w:rsid w:val="05011011"/>
    <w:rsid w:val="053E62C7"/>
    <w:rsid w:val="056E6A69"/>
    <w:rsid w:val="059C2D9F"/>
    <w:rsid w:val="05BF33B5"/>
    <w:rsid w:val="061F198A"/>
    <w:rsid w:val="076B4827"/>
    <w:rsid w:val="08FD0B6A"/>
    <w:rsid w:val="095B20FD"/>
    <w:rsid w:val="09F87FE5"/>
    <w:rsid w:val="0B2B537E"/>
    <w:rsid w:val="0B4A1A27"/>
    <w:rsid w:val="0C6241B2"/>
    <w:rsid w:val="0CA911C7"/>
    <w:rsid w:val="0D2B4E23"/>
    <w:rsid w:val="0E2061B7"/>
    <w:rsid w:val="0E876D2F"/>
    <w:rsid w:val="0EC82FD7"/>
    <w:rsid w:val="0FB34554"/>
    <w:rsid w:val="0FC2566F"/>
    <w:rsid w:val="10181623"/>
    <w:rsid w:val="10247F2D"/>
    <w:rsid w:val="107E735A"/>
    <w:rsid w:val="12957C2C"/>
    <w:rsid w:val="12A820AD"/>
    <w:rsid w:val="15737884"/>
    <w:rsid w:val="165C0F7F"/>
    <w:rsid w:val="16C25280"/>
    <w:rsid w:val="17207DDC"/>
    <w:rsid w:val="17D86D23"/>
    <w:rsid w:val="17F4775E"/>
    <w:rsid w:val="18AF15FD"/>
    <w:rsid w:val="19E94006"/>
    <w:rsid w:val="19F83AF8"/>
    <w:rsid w:val="1A9C796A"/>
    <w:rsid w:val="1B8976A9"/>
    <w:rsid w:val="1BBF797C"/>
    <w:rsid w:val="1CA5458C"/>
    <w:rsid w:val="1D83723A"/>
    <w:rsid w:val="1DE26149"/>
    <w:rsid w:val="1DEE2CCA"/>
    <w:rsid w:val="1E052624"/>
    <w:rsid w:val="1E247EC6"/>
    <w:rsid w:val="1EB92EF2"/>
    <w:rsid w:val="1FAB30E7"/>
    <w:rsid w:val="2037683E"/>
    <w:rsid w:val="20637B7A"/>
    <w:rsid w:val="21A61884"/>
    <w:rsid w:val="21D27498"/>
    <w:rsid w:val="221D09FC"/>
    <w:rsid w:val="22F91AE6"/>
    <w:rsid w:val="25590EC9"/>
    <w:rsid w:val="257F4BF0"/>
    <w:rsid w:val="25A13254"/>
    <w:rsid w:val="260B04D9"/>
    <w:rsid w:val="262F357C"/>
    <w:rsid w:val="26A26CEB"/>
    <w:rsid w:val="27235E7D"/>
    <w:rsid w:val="276F4E38"/>
    <w:rsid w:val="2834446C"/>
    <w:rsid w:val="29632F5D"/>
    <w:rsid w:val="299D4A4C"/>
    <w:rsid w:val="29F714A0"/>
    <w:rsid w:val="2A1902C2"/>
    <w:rsid w:val="2BE13F0B"/>
    <w:rsid w:val="2C0E2AD1"/>
    <w:rsid w:val="2C6224E4"/>
    <w:rsid w:val="2C995D0F"/>
    <w:rsid w:val="2D3E7816"/>
    <w:rsid w:val="2D776454"/>
    <w:rsid w:val="2DBC53C0"/>
    <w:rsid w:val="2DC92B05"/>
    <w:rsid w:val="2F0309F7"/>
    <w:rsid w:val="2F2E0F7F"/>
    <w:rsid w:val="2F3E6548"/>
    <w:rsid w:val="2F9A0FE4"/>
    <w:rsid w:val="2FF670DA"/>
    <w:rsid w:val="30D974B7"/>
    <w:rsid w:val="31A44B7A"/>
    <w:rsid w:val="31E01407"/>
    <w:rsid w:val="325F16D7"/>
    <w:rsid w:val="333663C1"/>
    <w:rsid w:val="34375693"/>
    <w:rsid w:val="345F01FB"/>
    <w:rsid w:val="346848DB"/>
    <w:rsid w:val="351E319F"/>
    <w:rsid w:val="35224B83"/>
    <w:rsid w:val="354F3A99"/>
    <w:rsid w:val="357B16F3"/>
    <w:rsid w:val="36050FAB"/>
    <w:rsid w:val="364A4B51"/>
    <w:rsid w:val="367176A6"/>
    <w:rsid w:val="36A24328"/>
    <w:rsid w:val="36DC6FE4"/>
    <w:rsid w:val="38537773"/>
    <w:rsid w:val="385E4AD7"/>
    <w:rsid w:val="3A3173ED"/>
    <w:rsid w:val="3B076549"/>
    <w:rsid w:val="3B82173E"/>
    <w:rsid w:val="3B9B6148"/>
    <w:rsid w:val="3C277DFD"/>
    <w:rsid w:val="3C5B75D3"/>
    <w:rsid w:val="3C7823C8"/>
    <w:rsid w:val="3CA42746"/>
    <w:rsid w:val="3DCC4487"/>
    <w:rsid w:val="3E474521"/>
    <w:rsid w:val="3FF77603"/>
    <w:rsid w:val="4058515A"/>
    <w:rsid w:val="4130506F"/>
    <w:rsid w:val="413C763F"/>
    <w:rsid w:val="41B46B47"/>
    <w:rsid w:val="41DA5117"/>
    <w:rsid w:val="424B79E0"/>
    <w:rsid w:val="42FA2D1F"/>
    <w:rsid w:val="434963F7"/>
    <w:rsid w:val="436B2C00"/>
    <w:rsid w:val="439F612A"/>
    <w:rsid w:val="43F14A51"/>
    <w:rsid w:val="441344E9"/>
    <w:rsid w:val="44842956"/>
    <w:rsid w:val="44B922E9"/>
    <w:rsid w:val="45086E27"/>
    <w:rsid w:val="465E02D2"/>
    <w:rsid w:val="46783742"/>
    <w:rsid w:val="48FC1957"/>
    <w:rsid w:val="499D4ACB"/>
    <w:rsid w:val="4A893DAB"/>
    <w:rsid w:val="4BC1413C"/>
    <w:rsid w:val="4C656785"/>
    <w:rsid w:val="4D0A5562"/>
    <w:rsid w:val="4DFD24AF"/>
    <w:rsid w:val="4E822997"/>
    <w:rsid w:val="4ED20DFA"/>
    <w:rsid w:val="4F0F5DA2"/>
    <w:rsid w:val="4F397E6D"/>
    <w:rsid w:val="4FFE0E94"/>
    <w:rsid w:val="504C2BE7"/>
    <w:rsid w:val="51174B5C"/>
    <w:rsid w:val="51B50E5A"/>
    <w:rsid w:val="534B0CD9"/>
    <w:rsid w:val="53D53D51"/>
    <w:rsid w:val="54285E4C"/>
    <w:rsid w:val="55306CD3"/>
    <w:rsid w:val="554830C1"/>
    <w:rsid w:val="557E27C2"/>
    <w:rsid w:val="56300F3A"/>
    <w:rsid w:val="56393E37"/>
    <w:rsid w:val="56B4262E"/>
    <w:rsid w:val="56F55D35"/>
    <w:rsid w:val="57C94BFF"/>
    <w:rsid w:val="5807041D"/>
    <w:rsid w:val="583F79D3"/>
    <w:rsid w:val="58691989"/>
    <w:rsid w:val="58F960F8"/>
    <w:rsid w:val="59264D13"/>
    <w:rsid w:val="5AC716C4"/>
    <w:rsid w:val="5B573321"/>
    <w:rsid w:val="5C1E1084"/>
    <w:rsid w:val="5D0C00B7"/>
    <w:rsid w:val="5DB96411"/>
    <w:rsid w:val="5E553271"/>
    <w:rsid w:val="5EDC76D9"/>
    <w:rsid w:val="5EE27322"/>
    <w:rsid w:val="60F035C2"/>
    <w:rsid w:val="6124428F"/>
    <w:rsid w:val="623446C7"/>
    <w:rsid w:val="633441F6"/>
    <w:rsid w:val="6352429E"/>
    <w:rsid w:val="63DC368B"/>
    <w:rsid w:val="63E45615"/>
    <w:rsid w:val="645A1DAF"/>
    <w:rsid w:val="64940258"/>
    <w:rsid w:val="64940A1E"/>
    <w:rsid w:val="66B25202"/>
    <w:rsid w:val="673E2277"/>
    <w:rsid w:val="69021DF3"/>
    <w:rsid w:val="69AD4D95"/>
    <w:rsid w:val="6A1720C7"/>
    <w:rsid w:val="6A315ABB"/>
    <w:rsid w:val="6A43654D"/>
    <w:rsid w:val="6A87598F"/>
    <w:rsid w:val="6E1970B9"/>
    <w:rsid w:val="6F000A9C"/>
    <w:rsid w:val="6F0109C8"/>
    <w:rsid w:val="6F763902"/>
    <w:rsid w:val="6FE30FB3"/>
    <w:rsid w:val="702B459E"/>
    <w:rsid w:val="703849D5"/>
    <w:rsid w:val="711712EF"/>
    <w:rsid w:val="7180640A"/>
    <w:rsid w:val="71F35AC2"/>
    <w:rsid w:val="72B81640"/>
    <w:rsid w:val="72DA2E30"/>
    <w:rsid w:val="74B57A97"/>
    <w:rsid w:val="7574564B"/>
    <w:rsid w:val="77B14F43"/>
    <w:rsid w:val="781F3804"/>
    <w:rsid w:val="792A1CCE"/>
    <w:rsid w:val="793439F5"/>
    <w:rsid w:val="796E3D99"/>
    <w:rsid w:val="7AE12DFD"/>
    <w:rsid w:val="7B3774D8"/>
    <w:rsid w:val="7B8D7C88"/>
    <w:rsid w:val="7C252C88"/>
    <w:rsid w:val="7C764322"/>
    <w:rsid w:val="7D7773AC"/>
    <w:rsid w:val="7DCA16A4"/>
    <w:rsid w:val="7E6D0CC7"/>
    <w:rsid w:val="7E863C64"/>
    <w:rsid w:val="7EEF7FE1"/>
    <w:rsid w:val="7F67167B"/>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08"/>
    <w:qFormat/>
    <w:uiPriority w:val="0"/>
    <w:pPr>
      <w:keepNext/>
      <w:keepLines/>
      <w:spacing w:line="576" w:lineRule="auto"/>
      <w:outlineLvl w:val="0"/>
    </w:pPr>
    <w:rPr>
      <w:b/>
      <w:bCs/>
      <w:kern w:val="44"/>
      <w:sz w:val="44"/>
      <w:szCs w:val="44"/>
    </w:rPr>
  </w:style>
  <w:style w:type="paragraph" w:styleId="3">
    <w:name w:val="heading 2"/>
    <w:basedOn w:val="1"/>
    <w:next w:val="1"/>
    <w:link w:val="138"/>
    <w:qFormat/>
    <w:uiPriority w:val="0"/>
    <w:pPr>
      <w:keepNext/>
      <w:keepLines/>
      <w:spacing w:line="415" w:lineRule="auto"/>
      <w:outlineLvl w:val="1"/>
    </w:pPr>
    <w:rPr>
      <w:rFonts w:ascii="Arial" w:hAnsi="Arial" w:eastAsia="黑体"/>
      <w:b/>
      <w:bCs/>
      <w:sz w:val="32"/>
      <w:szCs w:val="32"/>
    </w:rPr>
  </w:style>
  <w:style w:type="paragraph" w:styleId="4">
    <w:name w:val="heading 3"/>
    <w:basedOn w:val="1"/>
    <w:next w:val="1"/>
    <w:link w:val="152"/>
    <w:qFormat/>
    <w:uiPriority w:val="0"/>
    <w:pPr>
      <w:keepNext/>
      <w:keepLines/>
      <w:spacing w:line="415" w:lineRule="auto"/>
      <w:outlineLvl w:val="2"/>
    </w:pPr>
    <w:rPr>
      <w:b/>
      <w:bCs/>
      <w:sz w:val="32"/>
      <w:szCs w:val="32"/>
    </w:rPr>
  </w:style>
  <w:style w:type="paragraph" w:styleId="5">
    <w:name w:val="heading 4"/>
    <w:basedOn w:val="1"/>
    <w:next w:val="1"/>
    <w:link w:val="107"/>
    <w:qFormat/>
    <w:uiPriority w:val="0"/>
    <w:pPr>
      <w:keepNext/>
      <w:keepLines/>
      <w:spacing w:line="374" w:lineRule="auto"/>
      <w:outlineLvl w:val="3"/>
    </w:pPr>
    <w:rPr>
      <w:rFonts w:ascii="Arial" w:hAnsi="Arial" w:eastAsia="黑体"/>
      <w:b/>
      <w:bCs/>
      <w:sz w:val="28"/>
      <w:szCs w:val="28"/>
    </w:rPr>
  </w:style>
  <w:style w:type="paragraph" w:styleId="6">
    <w:name w:val="heading 5"/>
    <w:basedOn w:val="1"/>
    <w:next w:val="1"/>
    <w:link w:val="120"/>
    <w:qFormat/>
    <w:uiPriority w:val="0"/>
    <w:pPr>
      <w:keepNext/>
      <w:keepLines/>
      <w:spacing w:before="280" w:after="290" w:line="372" w:lineRule="auto"/>
      <w:outlineLvl w:val="4"/>
    </w:pPr>
    <w:rPr>
      <w:rFonts w:ascii="Calibri" w:hAnsi="Calibri"/>
      <w:b/>
      <w:bCs/>
      <w:sz w:val="28"/>
      <w:szCs w:val="28"/>
    </w:rPr>
  </w:style>
  <w:style w:type="paragraph" w:styleId="7">
    <w:name w:val="heading 6"/>
    <w:basedOn w:val="1"/>
    <w:next w:val="1"/>
    <w:link w:val="147"/>
    <w:qFormat/>
    <w:uiPriority w:val="0"/>
    <w:pPr>
      <w:keepNext/>
      <w:keepLines/>
      <w:widowControl/>
      <w:tabs>
        <w:tab w:val="left" w:pos="1440"/>
      </w:tabs>
      <w:spacing w:line="319" w:lineRule="auto"/>
      <w:ind w:left="1152" w:hanging="1152"/>
      <w:jc w:val="left"/>
      <w:outlineLvl w:val="5"/>
    </w:pPr>
    <w:rPr>
      <w:rFonts w:ascii="Arial" w:hAnsi="Arial" w:eastAsia="黑体"/>
      <w:b/>
      <w:bCs/>
      <w:kern w:val="0"/>
      <w:sz w:val="24"/>
    </w:rPr>
  </w:style>
  <w:style w:type="paragraph" w:styleId="8">
    <w:name w:val="heading 7"/>
    <w:basedOn w:val="1"/>
    <w:next w:val="1"/>
    <w:link w:val="130"/>
    <w:qFormat/>
    <w:uiPriority w:val="0"/>
    <w:pPr>
      <w:keepNext/>
      <w:keepLines/>
      <w:widowControl/>
      <w:tabs>
        <w:tab w:val="left" w:pos="2520"/>
      </w:tabs>
      <w:spacing w:line="319" w:lineRule="auto"/>
      <w:ind w:left="1296" w:hanging="1296"/>
      <w:jc w:val="left"/>
      <w:outlineLvl w:val="6"/>
    </w:pPr>
    <w:rPr>
      <w:b/>
      <w:bCs/>
      <w:kern w:val="0"/>
      <w:sz w:val="24"/>
    </w:rPr>
  </w:style>
  <w:style w:type="paragraph" w:styleId="9">
    <w:name w:val="heading 8"/>
    <w:basedOn w:val="1"/>
    <w:next w:val="1"/>
    <w:link w:val="140"/>
    <w:qFormat/>
    <w:uiPriority w:val="0"/>
    <w:pPr>
      <w:keepNext/>
      <w:keepLines/>
      <w:widowControl/>
      <w:tabs>
        <w:tab w:val="left" w:pos="1440"/>
      </w:tabs>
      <w:spacing w:line="319" w:lineRule="auto"/>
      <w:ind w:left="1440" w:hanging="1440"/>
      <w:jc w:val="left"/>
      <w:outlineLvl w:val="7"/>
    </w:pPr>
    <w:rPr>
      <w:rFonts w:ascii="Arial" w:hAnsi="Arial" w:eastAsia="黑体"/>
      <w:kern w:val="0"/>
      <w:sz w:val="24"/>
    </w:rPr>
  </w:style>
  <w:style w:type="paragraph" w:styleId="10">
    <w:name w:val="heading 9"/>
    <w:basedOn w:val="1"/>
    <w:next w:val="1"/>
    <w:link w:val="123"/>
    <w:qFormat/>
    <w:uiPriority w:val="0"/>
    <w:pPr>
      <w:keepNext/>
      <w:keepLines/>
      <w:widowControl/>
      <w:tabs>
        <w:tab w:val="left" w:pos="1584"/>
      </w:tabs>
      <w:spacing w:line="319" w:lineRule="auto"/>
      <w:ind w:left="1584" w:hanging="1584"/>
      <w:jc w:val="left"/>
      <w:outlineLvl w:val="8"/>
    </w:pPr>
    <w:rPr>
      <w:rFonts w:ascii="Arial" w:hAnsi="Arial" w:eastAsia="黑体"/>
      <w:kern w:val="0"/>
      <w:szCs w:val="21"/>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1260"/>
      <w:jc w:val="left"/>
    </w:pPr>
    <w:rPr>
      <w:sz w:val="18"/>
      <w:szCs w:val="18"/>
    </w:rPr>
  </w:style>
  <w:style w:type="paragraph" w:styleId="12">
    <w:name w:val="Normal Indent"/>
    <w:basedOn w:val="1"/>
    <w:link w:val="119"/>
    <w:qFormat/>
    <w:uiPriority w:val="0"/>
    <w:pPr>
      <w:ind w:firstLine="420" w:firstLineChars="200"/>
    </w:pPr>
  </w:style>
  <w:style w:type="paragraph" w:styleId="13">
    <w:name w:val="caption"/>
    <w:basedOn w:val="1"/>
    <w:next w:val="1"/>
    <w:qFormat/>
    <w:uiPriority w:val="0"/>
    <w:rPr>
      <w:rFonts w:ascii="Cambria" w:hAnsi="Cambria" w:eastAsia="黑体"/>
      <w:sz w:val="20"/>
      <w:szCs w:val="20"/>
    </w:rPr>
  </w:style>
  <w:style w:type="paragraph" w:styleId="14">
    <w:name w:val="List Bullet"/>
    <w:basedOn w:val="1"/>
    <w:qFormat/>
    <w:uiPriority w:val="0"/>
    <w:pPr>
      <w:tabs>
        <w:tab w:val="left" w:pos="845"/>
      </w:tabs>
      <w:spacing w:before="120" w:after="120" w:line="360" w:lineRule="auto"/>
      <w:ind w:left="845" w:hanging="425"/>
    </w:pPr>
    <w:rPr>
      <w:szCs w:val="20"/>
    </w:rPr>
  </w:style>
  <w:style w:type="paragraph" w:styleId="15">
    <w:name w:val="Document Map"/>
    <w:basedOn w:val="1"/>
    <w:link w:val="148"/>
    <w:qFormat/>
    <w:uiPriority w:val="0"/>
    <w:pPr>
      <w:shd w:val="clear" w:color="auto" w:fill="000080"/>
    </w:pPr>
  </w:style>
  <w:style w:type="paragraph" w:styleId="16">
    <w:name w:val="annotation text"/>
    <w:basedOn w:val="1"/>
    <w:link w:val="128"/>
    <w:qFormat/>
    <w:uiPriority w:val="0"/>
    <w:pPr>
      <w:jc w:val="left"/>
    </w:pPr>
  </w:style>
  <w:style w:type="paragraph" w:styleId="17">
    <w:name w:val="Body Text 3"/>
    <w:basedOn w:val="1"/>
    <w:qFormat/>
    <w:uiPriority w:val="0"/>
    <w:rPr>
      <w:rFonts w:ascii="宋体"/>
      <w:sz w:val="24"/>
      <w:szCs w:val="20"/>
    </w:rPr>
  </w:style>
  <w:style w:type="paragraph" w:styleId="18">
    <w:name w:val="Body Text"/>
    <w:basedOn w:val="19"/>
    <w:next w:val="19"/>
    <w:link w:val="135"/>
    <w:qFormat/>
    <w:uiPriority w:val="0"/>
    <w:rPr>
      <w:rFonts w:ascii="Times New Roman" w:cs="Times New Roman"/>
      <w:color w:val="auto"/>
      <w:kern w:val="2"/>
      <w:sz w:val="21"/>
    </w:rPr>
  </w:style>
  <w:style w:type="paragraph" w:customStyle="1" w:styleId="1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20">
    <w:name w:val="Body Text Indent"/>
    <w:basedOn w:val="1"/>
    <w:qFormat/>
    <w:uiPriority w:val="0"/>
    <w:pPr>
      <w:ind w:left="420" w:leftChars="200"/>
    </w:pPr>
  </w:style>
  <w:style w:type="paragraph" w:styleId="21">
    <w:name w:val="Block Text"/>
    <w:basedOn w:val="1"/>
    <w:qFormat/>
    <w:uiPriority w:val="0"/>
    <w:pPr>
      <w:adjustRightInd w:val="0"/>
      <w:ind w:left="420" w:right="33"/>
      <w:jc w:val="left"/>
    </w:pPr>
    <w:rPr>
      <w:kern w:val="0"/>
      <w:sz w:val="24"/>
      <w:szCs w:val="20"/>
    </w:rPr>
  </w:style>
  <w:style w:type="paragraph" w:styleId="22">
    <w:name w:val="index 4"/>
    <w:basedOn w:val="1"/>
    <w:next w:val="1"/>
    <w:qFormat/>
    <w:uiPriority w:val="0"/>
    <w:pPr>
      <w:ind w:left="600" w:leftChars="600"/>
    </w:pPr>
  </w:style>
  <w:style w:type="paragraph" w:styleId="23">
    <w:name w:val="toc 5"/>
    <w:basedOn w:val="1"/>
    <w:next w:val="1"/>
    <w:qFormat/>
    <w:uiPriority w:val="0"/>
    <w:pPr>
      <w:ind w:left="840"/>
      <w:jc w:val="left"/>
    </w:pPr>
    <w:rPr>
      <w:sz w:val="18"/>
      <w:szCs w:val="18"/>
    </w:rPr>
  </w:style>
  <w:style w:type="paragraph" w:styleId="24">
    <w:name w:val="toc 3"/>
    <w:basedOn w:val="1"/>
    <w:next w:val="1"/>
    <w:qFormat/>
    <w:uiPriority w:val="0"/>
    <w:pPr>
      <w:ind w:left="420"/>
      <w:jc w:val="left"/>
    </w:pPr>
    <w:rPr>
      <w:i/>
      <w:iCs/>
      <w:sz w:val="20"/>
      <w:szCs w:val="20"/>
    </w:rPr>
  </w:style>
  <w:style w:type="paragraph" w:styleId="25">
    <w:name w:val="Plain Text"/>
    <w:basedOn w:val="1"/>
    <w:link w:val="118"/>
    <w:qFormat/>
    <w:uiPriority w:val="0"/>
    <w:rPr>
      <w:rFonts w:ascii="Courier New" w:hAnsi="Courier New"/>
      <w:szCs w:val="20"/>
    </w:rPr>
  </w:style>
  <w:style w:type="paragraph" w:styleId="26">
    <w:name w:val="toc 8"/>
    <w:basedOn w:val="1"/>
    <w:next w:val="1"/>
    <w:qFormat/>
    <w:uiPriority w:val="0"/>
    <w:pPr>
      <w:ind w:left="1470"/>
      <w:jc w:val="left"/>
    </w:pPr>
    <w:rPr>
      <w:sz w:val="18"/>
      <w:szCs w:val="18"/>
    </w:rPr>
  </w:style>
  <w:style w:type="paragraph" w:styleId="27">
    <w:name w:val="Date"/>
    <w:basedOn w:val="1"/>
    <w:next w:val="1"/>
    <w:qFormat/>
    <w:uiPriority w:val="0"/>
    <w:rPr>
      <w:sz w:val="24"/>
      <w:szCs w:val="20"/>
    </w:rPr>
  </w:style>
  <w:style w:type="paragraph" w:styleId="28">
    <w:name w:val="Body Text Indent 2"/>
    <w:basedOn w:val="1"/>
    <w:qFormat/>
    <w:uiPriority w:val="0"/>
    <w:pPr>
      <w:spacing w:after="120" w:line="480" w:lineRule="auto"/>
      <w:ind w:left="420" w:leftChars="200"/>
    </w:pPr>
  </w:style>
  <w:style w:type="paragraph" w:styleId="29">
    <w:name w:val="Balloon Text"/>
    <w:basedOn w:val="1"/>
    <w:qFormat/>
    <w:uiPriority w:val="0"/>
    <w:rPr>
      <w:sz w:val="18"/>
      <w:szCs w:val="18"/>
    </w:rPr>
  </w:style>
  <w:style w:type="paragraph" w:styleId="30">
    <w:name w:val="footer"/>
    <w:basedOn w:val="1"/>
    <w:qFormat/>
    <w:uiPriority w:val="0"/>
    <w:pPr>
      <w:tabs>
        <w:tab w:val="center" w:pos="4153"/>
        <w:tab w:val="right" w:pos="8306"/>
      </w:tabs>
      <w:snapToGrid w:val="0"/>
      <w:jc w:val="left"/>
    </w:pPr>
    <w:rPr>
      <w:sz w:val="18"/>
      <w:szCs w:val="18"/>
    </w:rPr>
  </w:style>
  <w:style w:type="paragraph" w:styleId="31">
    <w:name w:val="header"/>
    <w:basedOn w:val="1"/>
    <w:link w:val="126"/>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qFormat/>
    <w:uiPriority w:val="0"/>
    <w:pPr>
      <w:jc w:val="left"/>
    </w:pPr>
    <w:rPr>
      <w:b/>
      <w:bCs/>
      <w:caps/>
      <w:sz w:val="20"/>
      <w:szCs w:val="20"/>
    </w:rPr>
  </w:style>
  <w:style w:type="paragraph" w:styleId="33">
    <w:name w:val="toc 4"/>
    <w:basedOn w:val="1"/>
    <w:next w:val="1"/>
    <w:qFormat/>
    <w:uiPriority w:val="0"/>
    <w:pPr>
      <w:ind w:left="630"/>
      <w:jc w:val="left"/>
    </w:pPr>
    <w:rPr>
      <w:sz w:val="18"/>
      <w:szCs w:val="18"/>
    </w:rPr>
  </w:style>
  <w:style w:type="paragraph" w:styleId="34">
    <w:name w:val="Subtitle"/>
    <w:basedOn w:val="1"/>
    <w:next w:val="1"/>
    <w:link w:val="116"/>
    <w:qFormat/>
    <w:uiPriority w:val="0"/>
    <w:pPr>
      <w:spacing w:before="240" w:after="60" w:line="312" w:lineRule="auto"/>
      <w:jc w:val="center"/>
      <w:outlineLvl w:val="1"/>
    </w:pPr>
    <w:rPr>
      <w:rFonts w:ascii="Arial" w:hAnsi="Arial" w:eastAsia="黑体"/>
      <w:b/>
      <w:bCs/>
      <w:sz w:val="32"/>
      <w:szCs w:val="32"/>
    </w:rPr>
  </w:style>
  <w:style w:type="paragraph" w:styleId="35">
    <w:name w:val="footnote text"/>
    <w:basedOn w:val="1"/>
    <w:qFormat/>
    <w:uiPriority w:val="0"/>
    <w:rPr>
      <w:sz w:val="20"/>
      <w:szCs w:val="20"/>
    </w:rPr>
  </w:style>
  <w:style w:type="paragraph" w:styleId="36">
    <w:name w:val="toc 6"/>
    <w:basedOn w:val="1"/>
    <w:next w:val="1"/>
    <w:qFormat/>
    <w:uiPriority w:val="0"/>
    <w:pPr>
      <w:ind w:left="1050"/>
      <w:jc w:val="left"/>
    </w:pPr>
    <w:rPr>
      <w:sz w:val="18"/>
      <w:szCs w:val="18"/>
    </w:rPr>
  </w:style>
  <w:style w:type="paragraph" w:styleId="37">
    <w:name w:val="Body Text Indent 3"/>
    <w:basedOn w:val="1"/>
    <w:qFormat/>
    <w:uiPriority w:val="0"/>
    <w:pPr>
      <w:ind w:left="420" w:leftChars="200"/>
    </w:pPr>
    <w:rPr>
      <w:sz w:val="16"/>
      <w:szCs w:val="16"/>
    </w:rPr>
  </w:style>
  <w:style w:type="paragraph" w:styleId="38">
    <w:name w:val="table of figures"/>
    <w:basedOn w:val="1"/>
    <w:next w:val="1"/>
    <w:qFormat/>
    <w:uiPriority w:val="0"/>
    <w:pPr>
      <w:ind w:left="200" w:leftChars="200" w:hanging="200" w:hangingChars="200"/>
    </w:pPr>
  </w:style>
  <w:style w:type="paragraph" w:styleId="39">
    <w:name w:val="toc 2"/>
    <w:basedOn w:val="1"/>
    <w:next w:val="1"/>
    <w:qFormat/>
    <w:uiPriority w:val="0"/>
    <w:pPr>
      <w:ind w:left="210"/>
      <w:jc w:val="left"/>
    </w:pPr>
    <w:rPr>
      <w:smallCaps/>
      <w:sz w:val="20"/>
      <w:szCs w:val="20"/>
    </w:rPr>
  </w:style>
  <w:style w:type="paragraph" w:styleId="40">
    <w:name w:val="toc 9"/>
    <w:basedOn w:val="1"/>
    <w:next w:val="1"/>
    <w:qFormat/>
    <w:uiPriority w:val="0"/>
    <w:pPr>
      <w:ind w:left="1680"/>
      <w:jc w:val="left"/>
    </w:pPr>
    <w:rPr>
      <w:sz w:val="18"/>
      <w:szCs w:val="18"/>
    </w:rPr>
  </w:style>
  <w:style w:type="paragraph" w:styleId="41">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42">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43">
    <w:name w:val="index 1"/>
    <w:basedOn w:val="1"/>
    <w:next w:val="1"/>
    <w:semiHidden/>
    <w:qFormat/>
    <w:uiPriority w:val="0"/>
    <w:pPr>
      <w:spacing w:line="480" w:lineRule="auto"/>
      <w:jc w:val="center"/>
    </w:pPr>
    <w:rPr>
      <w:sz w:val="32"/>
    </w:rPr>
  </w:style>
  <w:style w:type="paragraph" w:styleId="44">
    <w:name w:val="Title"/>
    <w:basedOn w:val="1"/>
    <w:qFormat/>
    <w:uiPriority w:val="0"/>
    <w:pPr>
      <w:adjustRightInd w:val="0"/>
      <w:spacing w:line="420" w:lineRule="atLeast"/>
      <w:jc w:val="center"/>
      <w:textAlignment w:val="baseline"/>
      <w:outlineLvl w:val="0"/>
    </w:pPr>
    <w:rPr>
      <w:rFonts w:ascii="Arial" w:hAnsi="Arial"/>
      <w:b/>
      <w:kern w:val="0"/>
      <w:sz w:val="32"/>
      <w:szCs w:val="20"/>
    </w:rPr>
  </w:style>
  <w:style w:type="paragraph" w:styleId="45">
    <w:name w:val="annotation subject"/>
    <w:basedOn w:val="16"/>
    <w:next w:val="16"/>
    <w:qFormat/>
    <w:uiPriority w:val="0"/>
    <w:rPr>
      <w:b/>
      <w:bCs/>
    </w:rPr>
  </w:style>
  <w:style w:type="table" w:styleId="47">
    <w:name w:val="Table Grid"/>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qFormat/>
    <w:uiPriority w:val="22"/>
    <w:rPr>
      <w:b/>
      <w:bCs/>
    </w:rPr>
  </w:style>
  <w:style w:type="character" w:styleId="50">
    <w:name w:val="page number"/>
    <w:qFormat/>
    <w:uiPriority w:val="0"/>
  </w:style>
  <w:style w:type="character" w:styleId="51">
    <w:name w:val="FollowedHyperlink"/>
    <w:qFormat/>
    <w:uiPriority w:val="0"/>
    <w:rPr>
      <w:color w:val="000000"/>
      <w:u w:val="none"/>
    </w:rPr>
  </w:style>
  <w:style w:type="character" w:styleId="52">
    <w:name w:val="Emphasis"/>
    <w:qFormat/>
    <w:uiPriority w:val="0"/>
    <w:rPr>
      <w:i/>
      <w:iCs/>
    </w:rPr>
  </w:style>
  <w:style w:type="character" w:styleId="53">
    <w:name w:val="Hyperlink"/>
    <w:qFormat/>
    <w:uiPriority w:val="0"/>
    <w:rPr>
      <w:color w:val="000000"/>
      <w:u w:val="none"/>
    </w:rPr>
  </w:style>
  <w:style w:type="character" w:styleId="54">
    <w:name w:val="annotation reference"/>
    <w:qFormat/>
    <w:uiPriority w:val="0"/>
    <w:rPr>
      <w:sz w:val="21"/>
      <w:szCs w:val="21"/>
    </w:rPr>
  </w:style>
  <w:style w:type="character" w:styleId="55">
    <w:name w:val="footnote reference"/>
    <w:qFormat/>
    <w:uiPriority w:val="0"/>
    <w:rPr>
      <w:vertAlign w:val="superscript"/>
    </w:rPr>
  </w:style>
  <w:style w:type="paragraph" w:customStyle="1" w:styleId="56">
    <w:name w:val="标题5"/>
    <w:basedOn w:val="4"/>
    <w:link w:val="112"/>
    <w:qFormat/>
    <w:uiPriority w:val="0"/>
    <w:pPr>
      <w:spacing w:line="413" w:lineRule="auto"/>
    </w:pPr>
    <w:rPr>
      <w:rFonts w:ascii="Arial" w:hAnsi="Arial"/>
      <w:kern w:val="0"/>
      <w:sz w:val="24"/>
    </w:rPr>
  </w:style>
  <w:style w:type="paragraph" w:customStyle="1" w:styleId="57">
    <w:name w:val="菲页(卷)"/>
    <w:basedOn w:val="2"/>
    <w:next w:val="58"/>
    <w:qFormat/>
    <w:uiPriority w:val="0"/>
    <w:pPr>
      <w:keepLines w:val="0"/>
      <w:widowControl/>
      <w:tabs>
        <w:tab w:val="left" w:pos="432"/>
      </w:tabs>
      <w:spacing w:line="240" w:lineRule="auto"/>
      <w:ind w:left="432" w:hanging="432"/>
      <w:jc w:val="center"/>
      <w:outlineLvl w:val="1"/>
    </w:pPr>
    <w:rPr>
      <w:rFonts w:hint="eastAsia" w:ascii="黑体" w:eastAsia="黑体"/>
      <w:b w:val="0"/>
      <w:bCs w:val="0"/>
      <w:kern w:val="0"/>
      <w:sz w:val="52"/>
      <w:szCs w:val="20"/>
    </w:rPr>
  </w:style>
  <w:style w:type="paragraph" w:customStyle="1" w:styleId="58">
    <w:name w:val="正文1"/>
    <w:qFormat/>
    <w:uiPriority w:val="0"/>
    <w:pPr>
      <w:widowControl w:val="0"/>
      <w:adjustRightInd w:val="0"/>
      <w:spacing w:line="312" w:lineRule="atLeast"/>
      <w:jc w:val="both"/>
    </w:pPr>
    <w:rPr>
      <w:rFonts w:hint="eastAsia" w:ascii="宋体" w:hAnsi="Times New Roman" w:eastAsia="宋体" w:cs="Times New Roman"/>
      <w:sz w:val="34"/>
      <w:lang w:val="en-US" w:eastAsia="zh-CN" w:bidi="ar-SA"/>
    </w:rPr>
  </w:style>
  <w:style w:type="paragraph" w:customStyle="1" w:styleId="59">
    <w:name w:val="正文小标题"/>
    <w:basedOn w:val="1"/>
    <w:qFormat/>
    <w:uiPriority w:val="0"/>
    <w:pPr>
      <w:tabs>
        <w:tab w:val="left" w:pos="210"/>
        <w:tab w:val="left" w:pos="360"/>
      </w:tabs>
      <w:overflowPunct w:val="0"/>
      <w:autoSpaceDE w:val="0"/>
      <w:autoSpaceDN w:val="0"/>
      <w:adjustRightInd w:val="0"/>
      <w:spacing w:line="300" w:lineRule="auto"/>
      <w:jc w:val="left"/>
      <w:textAlignment w:val="baseline"/>
    </w:pPr>
    <w:rPr>
      <w:kern w:val="0"/>
      <w:szCs w:val="20"/>
    </w:rPr>
  </w:style>
  <w:style w:type="paragraph" w:customStyle="1" w:styleId="60">
    <w:name w:val="彩色列表 - 强调文字颜色 11"/>
    <w:basedOn w:val="1"/>
    <w:qFormat/>
    <w:uiPriority w:val="0"/>
    <w:pPr>
      <w:ind w:firstLine="420" w:firstLineChars="200"/>
    </w:pPr>
    <w:rPr>
      <w:rFonts w:ascii="Calibri" w:hAnsi="Calibri"/>
      <w:szCs w:val="22"/>
    </w:rPr>
  </w:style>
  <w:style w:type="paragraph" w:customStyle="1" w:styleId="61">
    <w:name w:val="表内文字"/>
    <w:basedOn w:val="25"/>
    <w:qFormat/>
    <w:uiPriority w:val="0"/>
    <w:pPr>
      <w:spacing w:before="40" w:after="40" w:line="300" w:lineRule="auto"/>
      <w:ind w:firstLine="525" w:firstLineChars="250"/>
    </w:pPr>
    <w:rPr>
      <w:rFonts w:ascii="Times New Roman" w:hAnsi="Times New Roman" w:eastAsia="仿宋_GB2312"/>
      <w:szCs w:val="21"/>
    </w:rPr>
  </w:style>
  <w:style w:type="paragraph" w:customStyle="1" w:styleId="62">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63">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64">
    <w:name w:val="p0"/>
    <w:basedOn w:val="1"/>
    <w:qFormat/>
    <w:uiPriority w:val="0"/>
    <w:pPr>
      <w:widowControl/>
    </w:pPr>
    <w:rPr>
      <w:kern w:val="0"/>
      <w:szCs w:val="21"/>
    </w:rPr>
  </w:style>
  <w:style w:type="paragraph" w:customStyle="1" w:styleId="65">
    <w:name w:val="目录标题"/>
    <w:basedOn w:val="2"/>
    <w:next w:val="1"/>
    <w:qFormat/>
    <w:uiPriority w:val="0"/>
    <w:pPr>
      <w:outlineLvl w:val="9"/>
    </w:pPr>
    <w:rPr>
      <w:rFonts w:ascii="Calibri" w:hAnsi="Calibri"/>
    </w:rPr>
  </w:style>
  <w:style w:type="paragraph" w:customStyle="1" w:styleId="66">
    <w:name w:val="Char Char Char Char Char"/>
    <w:basedOn w:val="1"/>
    <w:qFormat/>
    <w:uiPriority w:val="0"/>
    <w:pPr>
      <w:tabs>
        <w:tab w:val="left" w:pos="1360"/>
      </w:tabs>
      <w:ind w:left="1360" w:hanging="720"/>
    </w:pPr>
    <w:rPr>
      <w:szCs w:val="20"/>
    </w:rPr>
  </w:style>
  <w:style w:type="paragraph" w:customStyle="1" w:styleId="67">
    <w:name w:val="目录"/>
    <w:basedOn w:val="1"/>
    <w:qFormat/>
    <w:uiPriority w:val="0"/>
    <w:pPr>
      <w:widowControl/>
      <w:jc w:val="center"/>
    </w:pPr>
    <w:rPr>
      <w:rFonts w:hint="eastAsia" w:ascii="宋体"/>
      <w:b/>
      <w:kern w:val="0"/>
      <w:sz w:val="36"/>
      <w:szCs w:val="20"/>
    </w:rPr>
  </w:style>
  <w:style w:type="paragraph" w:customStyle="1" w:styleId="68">
    <w:name w:val="样式1"/>
    <w:basedOn w:val="4"/>
    <w:qFormat/>
    <w:uiPriority w:val="0"/>
    <w:rPr>
      <w:rFonts w:eastAsia="Arial"/>
    </w:rPr>
  </w:style>
  <w:style w:type="paragraph" w:customStyle="1" w:styleId="69">
    <w:name w:val="A2"/>
    <w:basedOn w:val="25"/>
    <w:qFormat/>
    <w:uiPriority w:val="0"/>
    <w:pPr>
      <w:spacing w:line="300" w:lineRule="auto"/>
      <w:jc w:val="left"/>
    </w:pPr>
    <w:rPr>
      <w:rFonts w:ascii="黑体" w:eastAsia="黑体"/>
      <w:szCs w:val="21"/>
    </w:rPr>
  </w:style>
  <w:style w:type="paragraph" w:customStyle="1" w:styleId="70">
    <w:name w:val="浅色底纹 - 强调文字颜色 21"/>
    <w:basedOn w:val="1"/>
    <w:next w:val="1"/>
    <w:link w:val="122"/>
    <w:qFormat/>
    <w:uiPriority w:val="0"/>
    <w:pPr>
      <w:pBdr>
        <w:bottom w:val="single" w:color="4F81BD" w:sz="4" w:space="4"/>
      </w:pBdr>
      <w:spacing w:before="200" w:after="280"/>
      <w:ind w:left="936" w:right="936"/>
    </w:pPr>
    <w:rPr>
      <w:b/>
      <w:bCs/>
      <w:i/>
      <w:iCs/>
      <w:color w:val="4F81BD"/>
      <w:szCs w:val="22"/>
    </w:rPr>
  </w:style>
  <w:style w:type="paragraph" w:customStyle="1" w:styleId="71">
    <w:name w:val="Char"/>
    <w:basedOn w:val="1"/>
    <w:qFormat/>
    <w:uiPriority w:val="0"/>
    <w:pPr>
      <w:tabs>
        <w:tab w:val="left" w:pos="360"/>
      </w:tabs>
    </w:pPr>
    <w:rPr>
      <w:sz w:val="24"/>
    </w:rPr>
  </w:style>
  <w:style w:type="paragraph" w:customStyle="1" w:styleId="72">
    <w:name w:val="表格"/>
    <w:basedOn w:val="1"/>
    <w:qFormat/>
    <w:uiPriority w:val="0"/>
    <w:pPr>
      <w:jc w:val="center"/>
      <w:textAlignment w:val="center"/>
    </w:pPr>
    <w:rPr>
      <w:rFonts w:ascii="华文细黑" w:hAnsi="华文细黑"/>
      <w:kern w:val="0"/>
      <w:szCs w:val="20"/>
    </w:rPr>
  </w:style>
  <w:style w:type="paragraph" w:customStyle="1" w:styleId="73">
    <w:name w:val="A1"/>
    <w:basedOn w:val="25"/>
    <w:qFormat/>
    <w:uiPriority w:val="0"/>
    <w:pPr>
      <w:spacing w:line="300" w:lineRule="auto"/>
      <w:jc w:val="center"/>
    </w:pPr>
    <w:rPr>
      <w:rFonts w:ascii="黑体" w:eastAsia="黑体"/>
      <w:sz w:val="52"/>
      <w:szCs w:val="21"/>
    </w:rPr>
  </w:style>
  <w:style w:type="paragraph" w:customStyle="1" w:styleId="74">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75">
    <w:name w:val="XW正文"/>
    <w:basedOn w:val="20"/>
    <w:qFormat/>
    <w:uiPriority w:val="0"/>
    <w:pPr>
      <w:adjustRightInd w:val="0"/>
      <w:spacing w:line="300" w:lineRule="auto"/>
      <w:ind w:left="0" w:leftChars="0" w:firstLine="454"/>
      <w:textAlignment w:val="baseline"/>
    </w:pPr>
    <w:rPr>
      <w:szCs w:val="20"/>
    </w:rPr>
  </w:style>
  <w:style w:type="paragraph" w:customStyle="1" w:styleId="76">
    <w:name w:val="样式 标题 1 + 黑体 三号 非加粗 居中 段前: 6 磅 段后: 6 磅 行距: 固定值 20 磅"/>
    <w:basedOn w:val="2"/>
    <w:qFormat/>
    <w:uiPriority w:val="0"/>
    <w:pPr>
      <w:spacing w:line="400" w:lineRule="exact"/>
      <w:jc w:val="center"/>
    </w:pPr>
    <w:rPr>
      <w:rFonts w:ascii="黑体" w:hAnsi="黑体" w:eastAsia="黑体" w:cs="宋体"/>
      <w:b w:val="0"/>
      <w:bCs w:val="0"/>
      <w:sz w:val="32"/>
      <w:szCs w:val="20"/>
    </w:rPr>
  </w:style>
  <w:style w:type="paragraph" w:customStyle="1" w:styleId="77">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78">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Cs w:val="21"/>
    </w:rPr>
  </w:style>
  <w:style w:type="paragraph" w:customStyle="1" w:styleId="79">
    <w:name w:val="Char1"/>
    <w:basedOn w:val="1"/>
    <w:qFormat/>
    <w:uiPriority w:val="0"/>
  </w:style>
  <w:style w:type="paragraph" w:customStyle="1" w:styleId="80">
    <w:name w:val="默认段落字体 Para Char Char Char Char"/>
    <w:basedOn w:val="1"/>
    <w:qFormat/>
    <w:uiPriority w:val="0"/>
  </w:style>
  <w:style w:type="paragraph" w:customStyle="1" w:styleId="81">
    <w:name w:val="表格文字"/>
    <w:basedOn w:val="1"/>
    <w:qFormat/>
    <w:uiPriority w:val="0"/>
    <w:pPr>
      <w:adjustRightInd w:val="0"/>
      <w:spacing w:line="420" w:lineRule="atLeast"/>
      <w:jc w:val="left"/>
      <w:textAlignment w:val="baseline"/>
    </w:pPr>
    <w:rPr>
      <w:kern w:val="0"/>
      <w:szCs w:val="20"/>
    </w:rPr>
  </w:style>
  <w:style w:type="paragraph" w:customStyle="1" w:styleId="82">
    <w:name w:val="XW编号正文"/>
    <w:basedOn w:val="75"/>
    <w:qFormat/>
    <w:uiPriority w:val="0"/>
    <w:pPr>
      <w:numPr>
        <w:ilvl w:val="0"/>
        <w:numId w:val="1"/>
      </w:numPr>
      <w:tabs>
        <w:tab w:val="left" w:pos="1035"/>
        <w:tab w:val="left" w:pos="1134"/>
      </w:tabs>
      <w:ind w:left="1035" w:hanging="720"/>
      <w:jc w:val="left"/>
    </w:pPr>
  </w:style>
  <w:style w:type="paragraph" w:customStyle="1" w:styleId="83">
    <w:name w:val="表格标题"/>
    <w:basedOn w:val="1"/>
    <w:qFormat/>
    <w:uiPriority w:val="0"/>
    <w:pPr>
      <w:tabs>
        <w:tab w:val="left" w:pos="2820"/>
      </w:tabs>
      <w:adjustRightInd w:val="0"/>
      <w:snapToGrid w:val="0"/>
      <w:spacing w:beforeLines="50" w:afterLines="50" w:line="300" w:lineRule="auto"/>
      <w:jc w:val="center"/>
    </w:pPr>
    <w:rPr>
      <w:rFonts w:ascii="仿宋_GB2312" w:hAnsi="宋体"/>
      <w:color w:val="000000"/>
      <w:kern w:val="0"/>
      <w:sz w:val="24"/>
    </w:rPr>
  </w:style>
  <w:style w:type="paragraph" w:customStyle="1" w:styleId="84">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85">
    <w:name w:val="样式 标题 2 + Times New Roman 四号 非加粗 段前: 5 磅 段后: 0 磅 行距: 固定值 20..."/>
    <w:basedOn w:val="3"/>
    <w:qFormat/>
    <w:uiPriority w:val="0"/>
    <w:pPr>
      <w:spacing w:line="400" w:lineRule="exact"/>
    </w:pPr>
    <w:rPr>
      <w:rFonts w:ascii="Times New Roman" w:hAnsi="Times New Roman" w:cs="宋体"/>
      <w:b w:val="0"/>
      <w:bCs w:val="0"/>
      <w:sz w:val="28"/>
      <w:szCs w:val="20"/>
    </w:rPr>
  </w:style>
  <w:style w:type="paragraph" w:customStyle="1" w:styleId="86">
    <w:name w:val="目录文字"/>
    <w:basedOn w:val="1"/>
    <w:qFormat/>
    <w:uiPriority w:val="0"/>
    <w:pPr>
      <w:widowControl/>
      <w:spacing w:line="480" w:lineRule="auto"/>
      <w:jc w:val="left"/>
    </w:pPr>
    <w:rPr>
      <w:rFonts w:hint="eastAsia" w:ascii="宋体" w:hAnsi="宋体"/>
      <w:kern w:val="0"/>
      <w:sz w:val="24"/>
      <w:szCs w:val="20"/>
    </w:rPr>
  </w:style>
  <w:style w:type="paragraph" w:customStyle="1" w:styleId="87">
    <w:name w:val="表头"/>
    <w:basedOn w:val="1"/>
    <w:qFormat/>
    <w:uiPriority w:val="0"/>
    <w:pPr>
      <w:snapToGrid w:val="0"/>
      <w:spacing w:line="300" w:lineRule="auto"/>
      <w:ind w:right="420"/>
    </w:pPr>
    <w:rPr>
      <w:rFonts w:ascii="仿宋_GB2312"/>
      <w:kern w:val="0"/>
      <w:szCs w:val="21"/>
    </w:rPr>
  </w:style>
  <w:style w:type="paragraph" w:customStyle="1" w:styleId="88">
    <w:name w:val="标题4"/>
    <w:basedOn w:val="3"/>
    <w:next w:val="22"/>
    <w:link w:val="143"/>
    <w:qFormat/>
    <w:uiPriority w:val="0"/>
    <w:pPr>
      <w:spacing w:line="413" w:lineRule="auto"/>
    </w:pPr>
    <w:rPr>
      <w:rFonts w:eastAsia="宋体"/>
      <w:kern w:val="0"/>
      <w:sz w:val="24"/>
    </w:rPr>
  </w:style>
  <w:style w:type="paragraph" w:customStyle="1" w:styleId="89">
    <w:name w:val="彩色网格 - 强调文字颜色 11"/>
    <w:basedOn w:val="1"/>
    <w:next w:val="1"/>
    <w:link w:val="149"/>
    <w:qFormat/>
    <w:uiPriority w:val="0"/>
    <w:rPr>
      <w:i/>
      <w:iCs/>
      <w:color w:val="000000"/>
      <w:szCs w:val="22"/>
    </w:rPr>
  </w:style>
  <w:style w:type="paragraph" w:customStyle="1" w:styleId="90">
    <w:name w:val="菲页2"/>
    <w:basedOn w:val="4"/>
    <w:qFormat/>
    <w:uiPriority w:val="0"/>
    <w:pPr>
      <w:widowControl/>
      <w:tabs>
        <w:tab w:val="left" w:pos="720"/>
      </w:tabs>
      <w:spacing w:before="120" w:after="120" w:line="360" w:lineRule="auto"/>
      <w:ind w:left="720" w:hanging="720"/>
      <w:jc w:val="center"/>
    </w:pPr>
    <w:rPr>
      <w:rFonts w:hint="eastAsia" w:ascii="黑体" w:hAnsi="宋体" w:eastAsia="黑体"/>
      <w:b w:val="0"/>
      <w:bCs w:val="0"/>
      <w:kern w:val="0"/>
      <w:sz w:val="44"/>
      <w:szCs w:val="20"/>
    </w:rPr>
  </w:style>
  <w:style w:type="paragraph" w:customStyle="1" w:styleId="91">
    <w:name w:val="样式 标题 31 + 宋体 黑色 左侧:  0 厘米 首行缩进:  0 厘米"/>
    <w:basedOn w:val="1"/>
    <w:qFormat/>
    <w:uiPriority w:val="0"/>
    <w:pPr>
      <w:snapToGrid w:val="0"/>
      <w:spacing w:before="120" w:after="120" w:line="360" w:lineRule="auto"/>
      <w:jc w:val="left"/>
      <w:outlineLvl w:val="2"/>
    </w:pPr>
    <w:rPr>
      <w:rFonts w:ascii="宋体" w:hAnsi="宋体" w:cs="宋体"/>
      <w:color w:val="000000"/>
      <w:kern w:val="0"/>
      <w:szCs w:val="21"/>
    </w:rPr>
  </w:style>
  <w:style w:type="paragraph" w:customStyle="1" w:styleId="92">
    <w:name w:val="样式3"/>
    <w:basedOn w:val="4"/>
    <w:qFormat/>
    <w:uiPriority w:val="0"/>
    <w:rPr>
      <w:rFonts w:eastAsia="Arial"/>
    </w:rPr>
  </w:style>
  <w:style w:type="paragraph" w:customStyle="1" w:styleId="93">
    <w:name w:val="样式 标题 1标题 1XW + 黑色 两端对齐 段前: 6 磅 段后: 6 磅 行距: 最小值 22 磅"/>
    <w:basedOn w:val="2"/>
    <w:qFormat/>
    <w:uiPriority w:val="0"/>
    <w:pPr>
      <w:tabs>
        <w:tab w:val="left" w:pos="1080"/>
      </w:tabs>
      <w:autoSpaceDE w:val="0"/>
      <w:autoSpaceDN w:val="0"/>
      <w:adjustRightInd w:val="0"/>
      <w:snapToGrid w:val="0"/>
      <w:spacing w:before="120" w:after="120" w:line="440" w:lineRule="atLeast"/>
      <w:ind w:left="432" w:hanging="144"/>
    </w:pPr>
    <w:rPr>
      <w:rFonts w:ascii="黑体" w:eastAsia="黑体" w:cs="宋体"/>
      <w:b w:val="0"/>
      <w:bCs w:val="0"/>
      <w:color w:val="000000"/>
      <w:kern w:val="0"/>
      <w:sz w:val="52"/>
      <w:szCs w:val="20"/>
    </w:rPr>
  </w:style>
  <w:style w:type="paragraph" w:customStyle="1" w:styleId="94">
    <w:name w:val="菲页1"/>
    <w:basedOn w:val="3"/>
    <w:qFormat/>
    <w:uiPriority w:val="0"/>
    <w:pPr>
      <w:widowControl/>
      <w:tabs>
        <w:tab w:val="left" w:pos="540"/>
        <w:tab w:val="left" w:pos="7020"/>
      </w:tabs>
      <w:spacing w:line="240" w:lineRule="auto"/>
      <w:jc w:val="center"/>
    </w:pPr>
    <w:rPr>
      <w:rFonts w:hint="eastAsia" w:ascii="黑体" w:hAnsi="宋体" w:eastAsia="仿宋_GB2312"/>
      <w:b w:val="0"/>
      <w:bCs w:val="0"/>
      <w:color w:val="000000"/>
      <w:kern w:val="0"/>
      <w:sz w:val="52"/>
      <w:szCs w:val="36"/>
    </w:rPr>
  </w:style>
  <w:style w:type="paragraph" w:customStyle="1" w:styleId="95">
    <w:name w:val="Char4"/>
    <w:basedOn w:val="1"/>
    <w:qFormat/>
    <w:uiPriority w:val="0"/>
    <w:pPr>
      <w:spacing w:line="360" w:lineRule="auto"/>
      <w:ind w:firstLine="200" w:firstLineChars="200"/>
    </w:pPr>
    <w:rPr>
      <w:rFonts w:ascii="Arial" w:hAnsi="Arial" w:cs="Arial"/>
      <w:sz w:val="24"/>
    </w:rPr>
  </w:style>
  <w:style w:type="paragraph" w:customStyle="1" w:styleId="96">
    <w:name w:val="xl49"/>
    <w:basedOn w:val="1"/>
    <w:qFormat/>
    <w:uiPriority w:val="0"/>
    <w:pPr>
      <w:widowControl/>
      <w:pBdr>
        <w:bottom w:val="single" w:color="auto" w:sz="4" w:space="0"/>
        <w:right w:val="single" w:color="auto" w:sz="4" w:space="0"/>
      </w:pBdr>
      <w:spacing w:before="100" w:beforeAutospacing="1" w:after="100" w:afterAutospacing="1"/>
    </w:pPr>
    <w:rPr>
      <w:rFonts w:ascii="宋体" w:hAnsi="宋体"/>
      <w:b/>
      <w:bCs/>
      <w:kern w:val="0"/>
      <w:sz w:val="24"/>
    </w:rPr>
  </w:style>
  <w:style w:type="paragraph" w:customStyle="1" w:styleId="97">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98">
    <w:name w:val="样式2"/>
    <w:basedOn w:val="4"/>
    <w:qFormat/>
    <w:uiPriority w:val="0"/>
  </w:style>
  <w:style w:type="paragraph" w:customStyle="1" w:styleId="99">
    <w:name w:val="1"/>
    <w:basedOn w:val="1"/>
    <w:next w:val="1"/>
    <w:qFormat/>
    <w:uiPriority w:val="0"/>
  </w:style>
  <w:style w:type="paragraph" w:customStyle="1" w:styleId="100">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01">
    <w:name w:val="中等深浅网格 2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2">
    <w:name w:val="样式 标题 3 + (中文) 黑体 小四 非加粗 段前: 7.8 磅 段后: 0 磅 行距: 固定值 20 磅"/>
    <w:basedOn w:val="4"/>
    <w:qFormat/>
    <w:uiPriority w:val="0"/>
    <w:pPr>
      <w:spacing w:line="400" w:lineRule="exact"/>
    </w:pPr>
    <w:rPr>
      <w:rFonts w:eastAsia="黑体" w:cs="宋体"/>
      <w:b w:val="0"/>
      <w:bCs w:val="0"/>
      <w:sz w:val="24"/>
      <w:szCs w:val="20"/>
    </w:rPr>
  </w:style>
  <w:style w:type="paragraph" w:customStyle="1" w:styleId="103">
    <w:name w:val="样式4"/>
    <w:basedOn w:val="4"/>
    <w:qFormat/>
    <w:uiPriority w:val="0"/>
    <w:rPr>
      <w:rFonts w:eastAsia="Arial"/>
    </w:rPr>
  </w:style>
  <w:style w:type="paragraph" w:customStyle="1" w:styleId="104">
    <w:name w:val="A3"/>
    <w:basedOn w:val="73"/>
    <w:qFormat/>
    <w:uiPriority w:val="0"/>
    <w:rPr>
      <w:sz w:val="21"/>
    </w:rPr>
  </w:style>
  <w:style w:type="character" w:customStyle="1" w:styleId="105">
    <w:name w:val="Char Char"/>
    <w:qFormat/>
    <w:uiPriority w:val="0"/>
    <w:rPr>
      <w:rFonts w:ascii="Arial" w:hAnsi="Arial" w:eastAsia="黑体"/>
      <w:b/>
      <w:bCs/>
      <w:kern w:val="2"/>
      <w:sz w:val="32"/>
      <w:szCs w:val="32"/>
      <w:lang w:val="en-US" w:eastAsia="zh-CN" w:bidi="ar-SA"/>
    </w:rPr>
  </w:style>
  <w:style w:type="character" w:customStyle="1" w:styleId="106">
    <w:name w:val="ask-title"/>
    <w:qFormat/>
    <w:uiPriority w:val="0"/>
  </w:style>
  <w:style w:type="character" w:customStyle="1" w:styleId="107">
    <w:name w:val="标题 4 Char1"/>
    <w:link w:val="5"/>
    <w:qFormat/>
    <w:uiPriority w:val="0"/>
    <w:rPr>
      <w:rFonts w:ascii="Arial" w:hAnsi="Arial" w:eastAsia="黑体"/>
      <w:b/>
      <w:bCs/>
      <w:kern w:val="2"/>
      <w:sz w:val="28"/>
      <w:szCs w:val="28"/>
      <w:lang w:val="en-US" w:eastAsia="zh-CN" w:bidi="ar-SA"/>
    </w:rPr>
  </w:style>
  <w:style w:type="character" w:customStyle="1" w:styleId="108">
    <w:name w:val="标题 1 Char"/>
    <w:link w:val="2"/>
    <w:qFormat/>
    <w:uiPriority w:val="0"/>
    <w:rPr>
      <w:rFonts w:eastAsia="宋体"/>
      <w:b/>
      <w:bCs/>
      <w:kern w:val="44"/>
      <w:sz w:val="44"/>
      <w:szCs w:val="44"/>
      <w:lang w:val="en-US" w:eastAsia="zh-CN" w:bidi="ar-SA"/>
    </w:rPr>
  </w:style>
  <w:style w:type="character" w:customStyle="1" w:styleId="109">
    <w:name w:val="_Style 108"/>
    <w:qFormat/>
    <w:uiPriority w:val="0"/>
    <w:rPr>
      <w:i/>
      <w:iCs/>
      <w:color w:val="808080"/>
    </w:rPr>
  </w:style>
  <w:style w:type="character" w:customStyle="1" w:styleId="110">
    <w:name w:val="_Style 109"/>
    <w:qFormat/>
    <w:uiPriority w:val="0"/>
    <w:rPr>
      <w:b/>
      <w:bCs/>
      <w:smallCaps/>
      <w:color w:val="C0504D"/>
      <w:spacing w:val="5"/>
      <w:u w:val="single"/>
    </w:rPr>
  </w:style>
  <w:style w:type="character" w:customStyle="1" w:styleId="111">
    <w:name w:val="Char Char7"/>
    <w:qFormat/>
    <w:uiPriority w:val="0"/>
    <w:rPr>
      <w:rFonts w:ascii="Arial" w:hAnsi="Arial" w:eastAsia="黑体"/>
      <w:b/>
      <w:bCs/>
      <w:kern w:val="2"/>
      <w:sz w:val="32"/>
      <w:szCs w:val="32"/>
      <w:lang w:val="en-US" w:eastAsia="zh-CN" w:bidi="ar-SA"/>
    </w:rPr>
  </w:style>
  <w:style w:type="character" w:customStyle="1" w:styleId="112">
    <w:name w:val="标题5 Char Char"/>
    <w:link w:val="56"/>
    <w:qFormat/>
    <w:uiPriority w:val="0"/>
    <w:rPr>
      <w:rFonts w:ascii="Arial" w:hAnsi="Arial"/>
      <w:b/>
      <w:bCs/>
      <w:sz w:val="24"/>
      <w:szCs w:val="32"/>
      <w:lang w:bidi="ar-SA"/>
    </w:rPr>
  </w:style>
  <w:style w:type="character" w:customStyle="1" w:styleId="113">
    <w:name w:val="_Style 112"/>
    <w:qFormat/>
    <w:uiPriority w:val="0"/>
    <w:rPr>
      <w:smallCaps/>
      <w:color w:val="C0504D"/>
      <w:u w:val="single"/>
    </w:rPr>
  </w:style>
  <w:style w:type="character" w:customStyle="1" w:styleId="114">
    <w:name w:val="Char Char9"/>
    <w:qFormat/>
    <w:uiPriority w:val="0"/>
    <w:rPr>
      <w:kern w:val="2"/>
      <w:sz w:val="21"/>
      <w:szCs w:val="22"/>
    </w:rPr>
  </w:style>
  <w:style w:type="character" w:customStyle="1" w:styleId="115">
    <w:name w:val="正文文本 Char1"/>
    <w:qFormat/>
    <w:uiPriority w:val="0"/>
    <w:rPr>
      <w:kern w:val="2"/>
      <w:sz w:val="21"/>
      <w:szCs w:val="22"/>
    </w:rPr>
  </w:style>
  <w:style w:type="character" w:customStyle="1" w:styleId="116">
    <w:name w:val="副标题 Char"/>
    <w:link w:val="34"/>
    <w:qFormat/>
    <w:uiPriority w:val="0"/>
    <w:rPr>
      <w:rFonts w:ascii="Arial" w:hAnsi="Arial" w:eastAsia="黑体"/>
      <w:b/>
      <w:bCs/>
      <w:kern w:val="2"/>
      <w:sz w:val="32"/>
      <w:szCs w:val="32"/>
      <w:lang w:val="en-US" w:eastAsia="zh-CN" w:bidi="ar-SA"/>
    </w:rPr>
  </w:style>
  <w:style w:type="character" w:customStyle="1" w:styleId="117">
    <w:name w:val="日期 Char1"/>
    <w:qFormat/>
    <w:uiPriority w:val="0"/>
    <w:rPr>
      <w:kern w:val="2"/>
      <w:sz w:val="21"/>
      <w:szCs w:val="22"/>
    </w:rPr>
  </w:style>
  <w:style w:type="character" w:customStyle="1" w:styleId="118">
    <w:name w:val="纯文本 Char"/>
    <w:link w:val="25"/>
    <w:qFormat/>
    <w:uiPriority w:val="0"/>
    <w:rPr>
      <w:rFonts w:ascii="Courier New" w:hAnsi="Courier New" w:eastAsia="宋体"/>
      <w:kern w:val="2"/>
      <w:sz w:val="21"/>
      <w:lang w:val="en-US" w:eastAsia="zh-CN" w:bidi="ar-SA"/>
    </w:rPr>
  </w:style>
  <w:style w:type="character" w:customStyle="1" w:styleId="119">
    <w:name w:val="正文缩进 Char"/>
    <w:link w:val="12"/>
    <w:qFormat/>
    <w:uiPriority w:val="0"/>
    <w:rPr>
      <w:rFonts w:eastAsia="宋体"/>
      <w:kern w:val="2"/>
      <w:sz w:val="21"/>
      <w:szCs w:val="24"/>
      <w:lang w:val="en-US" w:eastAsia="zh-CN" w:bidi="ar-SA"/>
    </w:rPr>
  </w:style>
  <w:style w:type="character" w:customStyle="1" w:styleId="120">
    <w:name w:val="标题 5 Char"/>
    <w:link w:val="6"/>
    <w:qFormat/>
    <w:uiPriority w:val="0"/>
    <w:rPr>
      <w:rFonts w:ascii="Calibri" w:hAnsi="Calibri" w:eastAsia="宋体"/>
      <w:b/>
      <w:bCs/>
      <w:kern w:val="2"/>
      <w:sz w:val="28"/>
      <w:szCs w:val="28"/>
      <w:lang w:val="en-US" w:eastAsia="zh-CN" w:bidi="ar-SA"/>
    </w:rPr>
  </w:style>
  <w:style w:type="character" w:customStyle="1" w:styleId="121">
    <w:name w:val="批注主题 Char1"/>
    <w:qFormat/>
    <w:uiPriority w:val="0"/>
    <w:rPr>
      <w:b/>
      <w:bCs/>
      <w:kern w:val="2"/>
      <w:sz w:val="21"/>
      <w:szCs w:val="22"/>
    </w:rPr>
  </w:style>
  <w:style w:type="character" w:customStyle="1" w:styleId="122">
    <w:name w:val="浅色底纹 - 强调文字颜色 2 Char"/>
    <w:link w:val="70"/>
    <w:qFormat/>
    <w:uiPriority w:val="0"/>
    <w:rPr>
      <w:b/>
      <w:bCs/>
      <w:i/>
      <w:iCs/>
      <w:color w:val="4F81BD"/>
      <w:kern w:val="2"/>
      <w:sz w:val="21"/>
      <w:szCs w:val="22"/>
      <w:lang w:bidi="ar-SA"/>
    </w:rPr>
  </w:style>
  <w:style w:type="character" w:customStyle="1" w:styleId="123">
    <w:name w:val="标题 9 Char"/>
    <w:link w:val="10"/>
    <w:qFormat/>
    <w:uiPriority w:val="0"/>
    <w:rPr>
      <w:rFonts w:ascii="Arial" w:hAnsi="Arial" w:eastAsia="黑体"/>
      <w:sz w:val="21"/>
      <w:szCs w:val="21"/>
      <w:lang w:val="en-US" w:eastAsia="zh-CN" w:bidi="ar-SA"/>
    </w:rPr>
  </w:style>
  <w:style w:type="character" w:customStyle="1" w:styleId="124">
    <w:name w:val="Char Char19"/>
    <w:qFormat/>
    <w:uiPriority w:val="0"/>
    <w:rPr>
      <w:rFonts w:ascii="黑体" w:hAnsi="宋体" w:eastAsia="黑体"/>
      <w:sz w:val="52"/>
      <w:lang w:val="en-US" w:eastAsia="zh-CN" w:bidi="ar-SA"/>
    </w:rPr>
  </w:style>
  <w:style w:type="character" w:customStyle="1" w:styleId="125">
    <w:name w:val="_Style 124"/>
    <w:qFormat/>
    <w:uiPriority w:val="0"/>
    <w:rPr>
      <w:b/>
      <w:bCs/>
      <w:smallCaps/>
      <w:spacing w:val="5"/>
    </w:rPr>
  </w:style>
  <w:style w:type="character" w:customStyle="1" w:styleId="126">
    <w:name w:val="页眉 Char"/>
    <w:link w:val="31"/>
    <w:qFormat/>
    <w:uiPriority w:val="0"/>
    <w:rPr>
      <w:rFonts w:eastAsia="宋体"/>
      <w:kern w:val="2"/>
      <w:sz w:val="18"/>
      <w:szCs w:val="18"/>
      <w:lang w:val="en-US" w:eastAsia="zh-CN" w:bidi="ar-SA"/>
    </w:rPr>
  </w:style>
  <w:style w:type="character" w:customStyle="1" w:styleId="127">
    <w:name w:val="_Style 126"/>
    <w:qFormat/>
    <w:uiPriority w:val="0"/>
    <w:rPr>
      <w:b/>
      <w:bCs/>
      <w:i/>
      <w:iCs/>
      <w:color w:val="4F81BD"/>
    </w:rPr>
  </w:style>
  <w:style w:type="character" w:customStyle="1" w:styleId="128">
    <w:name w:val="批注文字 Char"/>
    <w:link w:val="16"/>
    <w:qFormat/>
    <w:uiPriority w:val="0"/>
    <w:rPr>
      <w:rFonts w:eastAsia="宋体"/>
      <w:kern w:val="2"/>
      <w:sz w:val="21"/>
      <w:szCs w:val="24"/>
      <w:lang w:val="en-US" w:eastAsia="zh-CN" w:bidi="ar-SA"/>
    </w:rPr>
  </w:style>
  <w:style w:type="character" w:customStyle="1" w:styleId="129">
    <w:name w:val="页眉 Char Char"/>
    <w:qFormat/>
    <w:uiPriority w:val="0"/>
    <w:rPr>
      <w:rFonts w:eastAsia="宋体"/>
      <w:kern w:val="2"/>
      <w:sz w:val="18"/>
      <w:szCs w:val="18"/>
      <w:lang w:val="en-US" w:eastAsia="zh-CN" w:bidi="ar-SA"/>
    </w:rPr>
  </w:style>
  <w:style w:type="character" w:customStyle="1" w:styleId="130">
    <w:name w:val="标题 7 Char"/>
    <w:link w:val="8"/>
    <w:qFormat/>
    <w:uiPriority w:val="0"/>
    <w:rPr>
      <w:rFonts w:eastAsia="宋体"/>
      <w:b/>
      <w:bCs/>
      <w:sz w:val="24"/>
      <w:szCs w:val="24"/>
      <w:lang w:val="en-US" w:eastAsia="zh-CN" w:bidi="ar-SA"/>
    </w:rPr>
  </w:style>
  <w:style w:type="character" w:customStyle="1" w:styleId="131">
    <w:name w:val="4号宋体左齐行距1.5倍 Char"/>
    <w:qFormat/>
    <w:uiPriority w:val="0"/>
    <w:rPr>
      <w:rFonts w:eastAsia="宋体"/>
      <w:b/>
      <w:sz w:val="32"/>
      <w:lang w:val="en-US" w:eastAsia="zh-CN" w:bidi="ar-SA"/>
    </w:rPr>
  </w:style>
  <w:style w:type="character" w:customStyle="1" w:styleId="132">
    <w:name w:val="Para head"/>
    <w:qFormat/>
    <w:uiPriority w:val="0"/>
    <w:rPr>
      <w:rFonts w:ascii="Arial" w:hAnsi="Arial" w:eastAsia="Times New Roman"/>
      <w:sz w:val="20"/>
    </w:rPr>
  </w:style>
  <w:style w:type="character" w:customStyle="1" w:styleId="133">
    <w:name w:val="标题 4 Char"/>
    <w:qFormat/>
    <w:uiPriority w:val="0"/>
    <w:rPr>
      <w:rFonts w:eastAsia="宋体"/>
      <w:sz w:val="21"/>
      <w:lang w:val="en-US" w:eastAsia="zh-CN" w:bidi="ar-SA"/>
    </w:rPr>
  </w:style>
  <w:style w:type="character" w:customStyle="1" w:styleId="134">
    <w:name w:val="apple-converted-space"/>
    <w:qFormat/>
    <w:uiPriority w:val="0"/>
  </w:style>
  <w:style w:type="character" w:customStyle="1" w:styleId="135">
    <w:name w:val="正文文本 Char"/>
    <w:link w:val="18"/>
    <w:qFormat/>
    <w:uiPriority w:val="0"/>
    <w:rPr>
      <w:rFonts w:eastAsia="宋体"/>
      <w:kern w:val="2"/>
      <w:sz w:val="21"/>
      <w:szCs w:val="24"/>
      <w:lang w:val="en-US" w:eastAsia="zh-CN" w:bidi="ar-SA"/>
    </w:rPr>
  </w:style>
  <w:style w:type="character" w:customStyle="1" w:styleId="136">
    <w:name w:val="font161"/>
    <w:qFormat/>
    <w:uiPriority w:val="0"/>
    <w:rPr>
      <w:b/>
      <w:bCs/>
      <w:sz w:val="32"/>
      <w:szCs w:val="32"/>
    </w:rPr>
  </w:style>
  <w:style w:type="character" w:customStyle="1" w:styleId="137">
    <w:name w:val="Char Char2"/>
    <w:qFormat/>
    <w:uiPriority w:val="0"/>
    <w:rPr>
      <w:rFonts w:eastAsia="宋体"/>
      <w:kern w:val="2"/>
      <w:sz w:val="21"/>
      <w:szCs w:val="24"/>
      <w:lang w:val="en-US" w:eastAsia="zh-CN" w:bidi="ar-SA"/>
    </w:rPr>
  </w:style>
  <w:style w:type="character" w:customStyle="1" w:styleId="138">
    <w:name w:val="标题 2 Char"/>
    <w:link w:val="3"/>
    <w:qFormat/>
    <w:uiPriority w:val="0"/>
    <w:rPr>
      <w:rFonts w:ascii="Arial" w:hAnsi="Arial" w:eastAsia="黑体"/>
      <w:b/>
      <w:bCs/>
      <w:kern w:val="2"/>
      <w:sz w:val="32"/>
      <w:szCs w:val="32"/>
      <w:lang w:val="en-US" w:eastAsia="zh-CN" w:bidi="ar-SA"/>
    </w:rPr>
  </w:style>
  <w:style w:type="character" w:customStyle="1" w:styleId="139">
    <w:name w:val="页脚 Char Char"/>
    <w:qFormat/>
    <w:uiPriority w:val="0"/>
    <w:rPr>
      <w:rFonts w:eastAsia="宋体"/>
      <w:kern w:val="2"/>
      <w:sz w:val="18"/>
      <w:szCs w:val="18"/>
      <w:lang w:val="en-US" w:eastAsia="zh-CN" w:bidi="ar-SA"/>
    </w:rPr>
  </w:style>
  <w:style w:type="character" w:customStyle="1" w:styleId="140">
    <w:name w:val="标题 8 Char"/>
    <w:link w:val="9"/>
    <w:qFormat/>
    <w:uiPriority w:val="0"/>
    <w:rPr>
      <w:rFonts w:ascii="Arial" w:hAnsi="Arial" w:eastAsia="黑体"/>
      <w:sz w:val="24"/>
      <w:szCs w:val="24"/>
      <w:lang w:val="en-US" w:eastAsia="zh-CN" w:bidi="ar-SA"/>
    </w:rPr>
  </w:style>
  <w:style w:type="character" w:customStyle="1" w:styleId="141">
    <w:name w:val="font11"/>
    <w:qFormat/>
    <w:uiPriority w:val="0"/>
    <w:rPr>
      <w:rFonts w:hint="eastAsia" w:ascii="宋体" w:hAnsi="宋体" w:eastAsia="宋体" w:cs="宋体"/>
      <w:color w:val="000000"/>
      <w:sz w:val="20"/>
      <w:szCs w:val="20"/>
      <w:u w:val="none"/>
    </w:rPr>
  </w:style>
  <w:style w:type="character" w:customStyle="1" w:styleId="142">
    <w:name w:val="批注框文本 Char1"/>
    <w:qFormat/>
    <w:uiPriority w:val="0"/>
    <w:rPr>
      <w:kern w:val="2"/>
      <w:sz w:val="18"/>
      <w:szCs w:val="18"/>
    </w:rPr>
  </w:style>
  <w:style w:type="character" w:customStyle="1" w:styleId="143">
    <w:name w:val="标题4 Char Char"/>
    <w:link w:val="88"/>
    <w:qFormat/>
    <w:uiPriority w:val="0"/>
    <w:rPr>
      <w:rFonts w:ascii="Arial" w:hAnsi="Arial"/>
      <w:b/>
      <w:bCs/>
      <w:sz w:val="24"/>
      <w:szCs w:val="32"/>
      <w:lang w:bidi="ar-SA"/>
    </w:rPr>
  </w:style>
  <w:style w:type="character" w:customStyle="1" w:styleId="144">
    <w:name w:val="Char Char17"/>
    <w:qFormat/>
    <w:uiPriority w:val="0"/>
    <w:rPr>
      <w:rFonts w:ascii="Cambria" w:hAnsi="Cambria" w:eastAsia="宋体" w:cs="Times New Roman"/>
      <w:b/>
      <w:bCs/>
      <w:kern w:val="2"/>
      <w:sz w:val="32"/>
      <w:szCs w:val="32"/>
    </w:rPr>
  </w:style>
  <w:style w:type="character" w:customStyle="1" w:styleId="145">
    <w:name w:val="textcontents"/>
    <w:qFormat/>
    <w:uiPriority w:val="0"/>
    <w:rPr>
      <w:rFonts w:cs="Times New Roman"/>
    </w:rPr>
  </w:style>
  <w:style w:type="character" w:customStyle="1" w:styleId="146">
    <w:name w:val="文档结构图 Char1"/>
    <w:qFormat/>
    <w:uiPriority w:val="0"/>
    <w:rPr>
      <w:rFonts w:ascii="宋体"/>
      <w:kern w:val="2"/>
      <w:sz w:val="18"/>
      <w:szCs w:val="18"/>
    </w:rPr>
  </w:style>
  <w:style w:type="character" w:customStyle="1" w:styleId="147">
    <w:name w:val="标题 6 Char"/>
    <w:link w:val="7"/>
    <w:qFormat/>
    <w:uiPriority w:val="0"/>
    <w:rPr>
      <w:rFonts w:ascii="Arial" w:hAnsi="Arial" w:eastAsia="黑体"/>
      <w:b/>
      <w:bCs/>
      <w:sz w:val="24"/>
      <w:szCs w:val="24"/>
      <w:lang w:val="en-US" w:eastAsia="zh-CN" w:bidi="ar-SA"/>
    </w:rPr>
  </w:style>
  <w:style w:type="character" w:customStyle="1" w:styleId="148">
    <w:name w:val="文档结构图 Char"/>
    <w:link w:val="15"/>
    <w:qFormat/>
    <w:uiPriority w:val="0"/>
    <w:rPr>
      <w:rFonts w:eastAsia="宋体"/>
      <w:kern w:val="2"/>
      <w:sz w:val="21"/>
      <w:szCs w:val="24"/>
      <w:lang w:val="en-US" w:eastAsia="zh-CN" w:bidi="ar-SA"/>
    </w:rPr>
  </w:style>
  <w:style w:type="character" w:customStyle="1" w:styleId="149">
    <w:name w:val="彩色网格 - 强调文字颜色 1 Char"/>
    <w:link w:val="89"/>
    <w:qFormat/>
    <w:uiPriority w:val="0"/>
    <w:rPr>
      <w:i/>
      <w:iCs/>
      <w:color w:val="000000"/>
      <w:kern w:val="2"/>
      <w:sz w:val="21"/>
      <w:szCs w:val="22"/>
      <w:lang w:bidi="ar-SA"/>
    </w:rPr>
  </w:style>
  <w:style w:type="character" w:customStyle="1" w:styleId="150">
    <w:name w:val="批注文字 Char Char"/>
    <w:qFormat/>
    <w:uiPriority w:val="0"/>
    <w:rPr>
      <w:rFonts w:ascii="宋体" w:hAnsi="Times New Roman" w:eastAsia="宋体" w:cs="Times New Roman"/>
      <w:sz w:val="28"/>
      <w:szCs w:val="20"/>
    </w:rPr>
  </w:style>
  <w:style w:type="character" w:customStyle="1" w:styleId="151">
    <w:name w:val="Char Char18"/>
    <w:qFormat/>
    <w:uiPriority w:val="0"/>
    <w:rPr>
      <w:b/>
      <w:bCs/>
      <w:kern w:val="44"/>
      <w:sz w:val="44"/>
      <w:szCs w:val="44"/>
    </w:rPr>
  </w:style>
  <w:style w:type="character" w:customStyle="1" w:styleId="152">
    <w:name w:val="标题 3 Char"/>
    <w:link w:val="4"/>
    <w:qFormat/>
    <w:uiPriority w:val="0"/>
    <w:rPr>
      <w:rFonts w:eastAsia="宋体"/>
      <w:b/>
      <w:bCs/>
      <w:kern w:val="2"/>
      <w:sz w:val="32"/>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中国微软</Company>
  <Pages>9</Pages>
  <Words>3523</Words>
  <Characters>3966</Characters>
  <Lines>35</Lines>
  <Paragraphs>9</Paragraphs>
  <TotalTime>23</TotalTime>
  <ScaleCrop>false</ScaleCrop>
  <LinksUpToDate>false</LinksUpToDate>
  <CharactersWithSpaces>4038</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2022-09-14T01:36:00Z</dcterms:created>
  <dc:creator>e510</dc:creator>
  <cp:lastModifiedBy>WPS_1598281548</cp:lastModifiedBy>
  <cp:lastPrinted>2022-09-09T07:41:00Z</cp:lastPrinted>
  <dcterms:modified xsi:type="dcterms:W3CDTF">2023-12-25T00:52:59Z</dcterms:modified>
  <dc:title>中华人民共和国</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197306D24B384525BEAD9BC9E901C33B</vt:lpwstr>
  </property>
  <property fmtid="{D5CDD505-2E9C-101B-9397-08002B2CF9AE}" pid="4" name="commondata">
    <vt:lpwstr>eyJoZGlkIjoiYzYyNTAwNGI5NGU4MjY1MmYwNTViNmIzOWFjNTkxNzQifQ==</vt:lpwstr>
  </property>
</Properties>
</file>