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default"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val="en-US" w:eastAsia="zh-CN"/>
        </w:rPr>
        <w:t>钢构</w:t>
      </w:r>
      <w:r>
        <w:rPr>
          <w:rFonts w:hint="eastAsia" w:asciiTheme="minorEastAsia" w:hAnsiTheme="minorEastAsia" w:eastAsiaTheme="minorEastAsia" w:cstheme="minorEastAsia"/>
          <w:b/>
          <w:bCs/>
          <w:sz w:val="40"/>
          <w:szCs w:val="40"/>
        </w:rPr>
        <w:t>-</w:t>
      </w:r>
      <w:r>
        <w:rPr>
          <w:rFonts w:hint="eastAsia" w:asciiTheme="minorEastAsia" w:hAnsiTheme="minorEastAsia" w:eastAsiaTheme="minorEastAsia" w:cstheme="minorEastAsia"/>
          <w:b/>
          <w:bCs/>
          <w:sz w:val="40"/>
          <w:szCs w:val="40"/>
          <w:lang w:val="en-US" w:eastAsia="zh-CN"/>
        </w:rPr>
        <w:t>金隆协力项目-阳光房等</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3157</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10</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26</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pPr>
        <w:spacing w:line="360" w:lineRule="auto"/>
        <w:rPr>
          <w:rFonts w:hint="eastAsia" w:ascii="宋体" w:hAnsi="宋体" w:eastAsia="宋体" w:cs="宋体"/>
          <w:b/>
          <w:bCs/>
          <w:sz w:val="24"/>
          <w:szCs w:val="24"/>
        </w:rPr>
      </w:pP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2、公开招标（竞价）</w:t>
      </w:r>
      <w:r>
        <w:rPr>
          <w:rFonts w:hint="eastAsia" w:ascii="仿宋" w:hAnsi="仿宋" w:eastAsia="仿宋" w:cs="仿宋"/>
          <w:sz w:val="24"/>
          <w:szCs w:val="24"/>
          <w:lang w:eastAsia="zh-CN"/>
        </w:rPr>
        <w:t>为不见面开标</w:t>
      </w:r>
      <w:r>
        <w:rPr>
          <w:rFonts w:hint="eastAsia" w:ascii="仿宋" w:hAnsi="仿宋" w:eastAsia="仿宋" w:cs="仿宋"/>
          <w:sz w:val="24"/>
          <w:szCs w:val="24"/>
        </w:rPr>
        <w:t>。</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一、招标日程安排</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1、招标公告发布日期：</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26</w:t>
      </w:r>
      <w:r>
        <w:rPr>
          <w:rFonts w:hint="eastAsia" w:ascii="仿宋" w:hAnsi="仿宋" w:eastAsia="仿宋" w:cs="仿宋"/>
          <w:sz w:val="24"/>
          <w:szCs w:val="24"/>
          <w:u w:val="single"/>
        </w:rPr>
        <w:t>日</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6、发中标通知书时间：另行通知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7、签订合同时间：另行通知</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pPr>
        <w:spacing w:line="360" w:lineRule="auto"/>
        <w:jc w:val="center"/>
        <w:rPr>
          <w:rFonts w:hint="eastAsia" w:ascii="仿宋" w:hAnsi="仿宋" w:eastAsia="仿宋" w:cs="仿宋"/>
          <w:b/>
          <w:sz w:val="24"/>
          <w:szCs w:val="24"/>
        </w:rPr>
      </w:pPr>
    </w:p>
    <w:p>
      <w:pPr>
        <w:jc w:val="center"/>
        <w:rPr>
          <w:rFonts w:hint="eastAsia" w:ascii="仿宋" w:hAnsi="仿宋" w:eastAsia="仿宋" w:cs="仿宋"/>
          <w:sz w:val="24"/>
          <w:szCs w:val="24"/>
          <w:u w:val="single"/>
        </w:rPr>
      </w:pPr>
      <w:r>
        <w:rPr>
          <w:rFonts w:hint="eastAsia" w:ascii="仿宋" w:hAnsi="仿宋" w:eastAsia="仿宋" w:cs="仿宋"/>
          <w:sz w:val="24"/>
          <w:szCs w:val="24"/>
          <w:u w:val="single"/>
        </w:rPr>
        <w:t>本次招标的具体内容如下：</w:t>
      </w:r>
      <w:r>
        <w:rPr>
          <w:rFonts w:hint="eastAsia" w:ascii="仿宋" w:hAnsi="仿宋" w:eastAsia="仿宋" w:cs="仿宋"/>
          <w:sz w:val="24"/>
          <w:szCs w:val="24"/>
          <w:u w:val="single"/>
          <w:lang w:val="en-US" w:eastAsia="zh-CN"/>
        </w:rPr>
        <w:t>钢构</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金隆协力项目-阳光房等（详见报价单）</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bookmarkStart w:id="0" w:name="_GoBack"/>
      <w:bookmarkEnd w:id="0"/>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该招标数量为招标人在现有条件下核定的大约数量，此数量仅作为评标和签订合同数量的依据，不作为中标人最终供货结算数量的依据，最终供货结算数量的增减丝毫不影响投标报价的效力。</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sz w:val="24"/>
          <w:szCs w:val="24"/>
          <w:lang w:eastAsia="zh-CN"/>
        </w:rPr>
      </w:pPr>
    </w:p>
    <w:p>
      <w:pPr>
        <w:pStyle w:val="2"/>
        <w:rPr>
          <w:rFonts w:hint="eastAsia"/>
          <w:lang w:eastAsia="zh-CN"/>
        </w:rPr>
      </w:pPr>
    </w:p>
    <w:p>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4、投标人营业执照所列示的经营范围必须涵盖本次招标材料品种。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pPr>
        <w:spacing w:line="360" w:lineRule="auto"/>
        <w:ind w:firstLine="490" w:firstLineChars="200"/>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四、招标公告发布的媒介及招标公告的获取</w:t>
      </w:r>
    </w:p>
    <w:p>
      <w:pPr>
        <w:spacing w:line="360" w:lineRule="auto"/>
        <w:jc w:val="center"/>
        <w:rPr>
          <w:rFonts w:hint="eastAsia" w:ascii="仿宋" w:hAnsi="仿宋" w:eastAsia="仿宋" w:cs="仿宋"/>
          <w:b/>
          <w:sz w:val="24"/>
          <w:szCs w:val="24"/>
        </w:rPr>
      </w:pPr>
    </w:p>
    <w:p>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所有招标信息均以以上网站发布为准，其它任何形式的内容不作为招标投标以及开标评标的依据。</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3、报名自招标公告发布之日起至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日17:</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pPr>
        <w:spacing w:line="360" w:lineRule="auto"/>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pPr>
        <w:spacing w:line="360" w:lineRule="auto"/>
        <w:jc w:val="center"/>
        <w:rPr>
          <w:rFonts w:hint="eastAsia" w:ascii="仿宋" w:hAnsi="仿宋" w:eastAsia="仿宋" w:cs="仿宋"/>
          <w:b/>
          <w:sz w:val="24"/>
          <w:szCs w:val="24"/>
          <w:lang w:val="en-US" w:eastAsia="zh-CN"/>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pPr>
        <w:spacing w:line="360" w:lineRule="auto"/>
        <w:jc w:val="center"/>
        <w:rPr>
          <w:rFonts w:hint="eastAsia" w:ascii="仿宋" w:hAnsi="仿宋" w:eastAsia="仿宋" w:cs="仿宋"/>
          <w:b/>
          <w:sz w:val="24"/>
          <w:szCs w:val="24"/>
        </w:rPr>
      </w:pP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1、与本次招标材料的质量相关要求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（2）投标文件密封袋封口处应密封完整，加盖投标单位公章，并且注明招标编号及材料名称。因投标人制作、密封、寄送报价文件不符合要求的视为无效投标。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本次招标的材料由中标人负责运输。运输过程中未按相关安全、环保等要求所导致的一切安全生产事故由中标人承担责任。</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pPr>
        <w:pStyle w:val="2"/>
        <w:spacing w:line="360" w:lineRule="auto"/>
        <w:ind w:left="0" w:leftChars="0" w:firstLine="0" w:firstLineChars="0"/>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5、中标通知：招标人以书面形式向中标人发出中标通知书。</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6、招标人和中标人应当自中标通知书发出之日起三十日内，按照招标文件和中标人的投标文件订立书面合同，招标人和中标人不得再行订立背离本次招标实质性内容的其他协议。</w:t>
      </w:r>
    </w:p>
    <w:p>
      <w:pPr>
        <w:spacing w:line="360" w:lineRule="auto"/>
        <w:rPr>
          <w:rFonts w:hint="eastAsia" w:ascii="仿宋" w:hAnsi="仿宋" w:eastAsia="仿宋" w:cs="仿宋"/>
          <w:sz w:val="24"/>
          <w:szCs w:val="24"/>
        </w:rPr>
      </w:pPr>
    </w:p>
    <w:p>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pPr>
        <w:spacing w:line="360" w:lineRule="auto"/>
        <w:jc w:val="center"/>
        <w:rPr>
          <w:rFonts w:hint="eastAsia" w:ascii="仿宋" w:hAnsi="仿宋" w:eastAsia="仿宋" w:cs="仿宋"/>
          <w:b/>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pStyle w:val="2"/>
        <w:spacing w:line="360" w:lineRule="auto"/>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pPr>
        <w:spacing w:line="360" w:lineRule="auto"/>
        <w:ind w:firstLine="490" w:firstLineChars="200"/>
        <w:rPr>
          <w:rFonts w:hint="eastAsia" w:ascii="仿宋" w:hAnsi="仿宋" w:eastAsia="仿宋" w:cs="仿宋"/>
          <w:sz w:val="24"/>
          <w:szCs w:val="24"/>
        </w:rPr>
      </w:pPr>
    </w:p>
    <w:p>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90" w:firstLineChars="200"/>
        <w:rPr>
          <w:rFonts w:hint="eastAsia" w:ascii="仿宋" w:hAnsi="仿宋" w:eastAsia="仿宋" w:cs="仿宋"/>
          <w:color w:val="000000"/>
          <w:sz w:val="24"/>
          <w:szCs w:val="24"/>
          <w:u w:val="single"/>
        </w:rPr>
      </w:pPr>
    </w:p>
    <w:p>
      <w:pPr>
        <w:spacing w:line="360" w:lineRule="auto"/>
        <w:ind w:firstLine="4655" w:firstLineChars="1900"/>
        <w:rPr>
          <w:rFonts w:hint="eastAsia" w:ascii="仿宋" w:hAnsi="仿宋" w:eastAsia="仿宋" w:cs="仿宋"/>
          <w:sz w:val="24"/>
          <w:szCs w:val="24"/>
        </w:rPr>
      </w:pPr>
    </w:p>
    <w:p>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