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pPr>
        <w:pStyle w:val="2"/>
        <w:rPr>
          <w:rFonts w:hint="eastAsia" w:asciiTheme="minorEastAsia" w:hAnsiTheme="minorEastAsia" w:eastAsiaTheme="minorEastAsia" w:cstheme="minorEastAsia"/>
          <w:kern w:val="1"/>
          <w:sz w:val="44"/>
          <w:szCs w:val="44"/>
        </w:rPr>
      </w:pPr>
    </w:p>
    <w:p>
      <w:pPr>
        <w:pStyle w:val="2"/>
        <w:rPr>
          <w:rFonts w:hint="eastAsia" w:asciiTheme="minorEastAsia" w:hAnsiTheme="minorEastAsia" w:eastAsiaTheme="minorEastAsia" w:cstheme="minorEastAsia"/>
          <w:kern w:val="1"/>
          <w:sz w:val="44"/>
          <w:szCs w:val="44"/>
        </w:rPr>
      </w:pPr>
    </w:p>
    <w:p>
      <w:pPr>
        <w:jc w:val="center"/>
        <w:rPr>
          <w:rFonts w:hint="default"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eastAsia="zh-CN"/>
        </w:rPr>
        <w:t>钢构</w:t>
      </w:r>
      <w:r>
        <w:rPr>
          <w:rFonts w:hint="eastAsia" w:asciiTheme="minorEastAsia" w:hAnsiTheme="minorEastAsia" w:eastAsiaTheme="minorEastAsia" w:cstheme="minorEastAsia"/>
          <w:b/>
          <w:bCs/>
          <w:sz w:val="40"/>
          <w:szCs w:val="40"/>
        </w:rPr>
        <w:t>-</w:t>
      </w:r>
      <w:r>
        <w:rPr>
          <w:rFonts w:hint="eastAsia" w:asciiTheme="minorEastAsia" w:hAnsiTheme="minorEastAsia" w:eastAsiaTheme="minorEastAsia" w:cstheme="minorEastAsia"/>
          <w:b/>
          <w:bCs/>
          <w:sz w:val="40"/>
          <w:szCs w:val="40"/>
          <w:lang w:val="en-US" w:eastAsia="zh-CN"/>
        </w:rPr>
        <w:t>厄瓜多尔浮选项目-钢材（H型钢）</w:t>
      </w:r>
    </w:p>
    <w:p>
      <w:pPr>
        <w:spacing w:line="700" w:lineRule="exact"/>
        <w:jc w:val="center"/>
        <w:rPr>
          <w:rFonts w:asciiTheme="minorEastAsia" w:hAnsiTheme="minorEastAsia" w:eastAsiaTheme="minorEastAsia" w:cstheme="minorEastAsia"/>
          <w:sz w:val="44"/>
          <w:szCs w:val="44"/>
        </w:rPr>
      </w:pPr>
    </w:p>
    <w:p>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rPr>
        <w:t>招标文件</w:t>
      </w:r>
    </w:p>
    <w:p>
      <w:pPr>
        <w:tabs>
          <w:tab w:val="left" w:pos="7020"/>
        </w:tabs>
        <w:jc w:val="center"/>
        <w:rPr>
          <w:rFonts w:asciiTheme="minorEastAsia" w:hAnsiTheme="minorEastAsia" w:eastAsiaTheme="minorEastAsia" w:cstheme="minorEastAsia"/>
          <w:b/>
          <w:sz w:val="52"/>
          <w:szCs w:val="52"/>
        </w:rPr>
      </w:pPr>
    </w:p>
    <w:p>
      <w:pPr>
        <w:pStyle w:val="2"/>
      </w:pPr>
    </w:p>
    <w:p>
      <w:pPr>
        <w:rPr>
          <w:rFonts w:hint="default"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rPr>
        <w:t>招标编号：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3154</w:t>
      </w:r>
      <w:bookmarkStart w:id="0" w:name="_GoBack"/>
      <w:bookmarkEnd w:id="0"/>
    </w:p>
    <w:p>
      <w:pPr>
        <w:rPr>
          <w:rFonts w:hint="eastAsia"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招标公告发布日期：</w:t>
      </w:r>
      <w:r>
        <w:rPr>
          <w:rFonts w:hint="eastAsia" w:asciiTheme="minorEastAsia" w:hAnsiTheme="minorEastAsia" w:eastAsiaTheme="minorEastAsia" w:cstheme="minorEastAsia"/>
          <w:b/>
          <w:bCs/>
          <w:sz w:val="32"/>
          <w:szCs w:val="32"/>
          <w:u w:val="single"/>
        </w:rPr>
        <w:t>202</w:t>
      </w:r>
      <w:r>
        <w:rPr>
          <w:rFonts w:hint="eastAsia" w:asciiTheme="minorEastAsia" w:hAnsiTheme="minorEastAsia" w:eastAsiaTheme="minorEastAsia" w:cstheme="minorEastAsia"/>
          <w:b/>
          <w:bCs/>
          <w:sz w:val="32"/>
          <w:szCs w:val="32"/>
          <w:u w:val="single"/>
          <w:lang w:val="en-US" w:eastAsia="zh-CN"/>
        </w:rPr>
        <w:t>3</w:t>
      </w:r>
      <w:r>
        <w:rPr>
          <w:rFonts w:hint="eastAsia" w:asciiTheme="minorEastAsia" w:hAnsiTheme="minorEastAsia" w:eastAsiaTheme="minorEastAsia" w:cstheme="minorEastAsia"/>
          <w:b/>
          <w:bCs/>
          <w:sz w:val="32"/>
          <w:szCs w:val="32"/>
          <w:u w:val="single"/>
        </w:rPr>
        <w:t>年</w:t>
      </w:r>
      <w:r>
        <w:rPr>
          <w:rFonts w:hint="eastAsia" w:asciiTheme="minorEastAsia" w:hAnsiTheme="minorEastAsia" w:eastAsiaTheme="minorEastAsia" w:cstheme="minorEastAsia"/>
          <w:b/>
          <w:bCs/>
          <w:sz w:val="32"/>
          <w:szCs w:val="32"/>
          <w:u w:val="single"/>
          <w:lang w:val="en-US" w:eastAsia="zh-CN"/>
        </w:rPr>
        <w:t>10</w:t>
      </w:r>
      <w:r>
        <w:rPr>
          <w:rFonts w:hint="eastAsia" w:asciiTheme="minorEastAsia" w:hAnsiTheme="minorEastAsia" w:eastAsiaTheme="minorEastAsia" w:cstheme="minorEastAsia"/>
          <w:b/>
          <w:bCs/>
          <w:sz w:val="32"/>
          <w:szCs w:val="32"/>
          <w:u w:val="single"/>
        </w:rPr>
        <w:t>月</w:t>
      </w:r>
      <w:r>
        <w:rPr>
          <w:rFonts w:hint="eastAsia" w:asciiTheme="minorEastAsia" w:hAnsiTheme="minorEastAsia" w:eastAsiaTheme="minorEastAsia" w:cstheme="minorEastAsia"/>
          <w:b/>
          <w:bCs/>
          <w:sz w:val="32"/>
          <w:szCs w:val="32"/>
          <w:u w:val="single"/>
          <w:lang w:val="en-US" w:eastAsia="zh-CN"/>
        </w:rPr>
        <w:t>20</w:t>
      </w:r>
      <w:r>
        <w:rPr>
          <w:rFonts w:hint="eastAsia" w:asciiTheme="minorEastAsia" w:hAnsiTheme="minorEastAsia" w:eastAsiaTheme="minorEastAsia" w:cstheme="minorEastAsia"/>
          <w:b/>
          <w:bCs/>
          <w:sz w:val="32"/>
          <w:szCs w:val="32"/>
          <w:u w:val="single"/>
        </w:rPr>
        <w:t>日</w:t>
      </w:r>
    </w:p>
    <w:p>
      <w:pPr>
        <w:rPr>
          <w:rFonts w:asciiTheme="minorEastAsia" w:hAnsiTheme="minorEastAsia" w:eastAsiaTheme="minorEastAsia" w:cstheme="minorEastAsia"/>
          <w:b/>
          <w:bCs/>
          <w:sz w:val="32"/>
          <w:szCs w:val="32"/>
          <w:u w:val="single"/>
        </w:rPr>
      </w:pPr>
    </w:p>
    <w:p>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rPr>
        <w:t xml:space="preserve">招 标 人: </w:t>
      </w:r>
      <w:r>
        <w:rPr>
          <w:rFonts w:hint="eastAsia" w:asciiTheme="minorEastAsia" w:hAnsiTheme="minorEastAsia" w:eastAsiaTheme="minorEastAsia" w:cstheme="minorEastAsia"/>
          <w:b/>
          <w:bCs/>
          <w:sz w:val="28"/>
          <w:szCs w:val="28"/>
        </w:rPr>
        <w:t>铜陵有色金属集团铜冠建筑安装股份有限公司（盖章）</w:t>
      </w:r>
    </w:p>
    <w:p>
      <w:pPr>
        <w:rPr>
          <w:rFonts w:asciiTheme="minorEastAsia" w:hAnsiTheme="minorEastAsia" w:eastAsiaTheme="minorEastAsia" w:cstheme="minorEastAsia"/>
          <w:b/>
          <w:bCs/>
          <w:sz w:val="32"/>
          <w:szCs w:val="32"/>
        </w:rPr>
      </w:pPr>
    </w:p>
    <w:p>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毛文文</w:t>
      </w:r>
      <w:r>
        <w:rPr>
          <w:rFonts w:hint="eastAsia" w:asciiTheme="minorEastAsia" w:hAnsiTheme="minorEastAsia" w:eastAsiaTheme="minorEastAsia" w:cstheme="minorEastAsia"/>
          <w:b/>
          <w:bCs/>
          <w:sz w:val="32"/>
          <w:szCs w:val="32"/>
          <w:u w:val="single"/>
        </w:rPr>
        <w:t>（1</w:t>
      </w:r>
      <w:r>
        <w:rPr>
          <w:rFonts w:hint="eastAsia" w:asciiTheme="minorEastAsia" w:hAnsiTheme="minorEastAsia" w:eastAsiaTheme="minorEastAsia" w:cstheme="minorEastAsia"/>
          <w:b/>
          <w:bCs/>
          <w:sz w:val="32"/>
          <w:szCs w:val="32"/>
          <w:u w:val="single"/>
          <w:lang w:val="en-US" w:eastAsia="zh-CN"/>
        </w:rPr>
        <w:t>5256639761</w:t>
      </w:r>
      <w:r>
        <w:rPr>
          <w:rFonts w:hint="eastAsia" w:asciiTheme="minorEastAsia" w:hAnsiTheme="minorEastAsia" w:eastAsiaTheme="minorEastAsia" w:cstheme="minorEastAsia"/>
          <w:b/>
          <w:bCs/>
          <w:sz w:val="32"/>
          <w:szCs w:val="32"/>
          <w:u w:val="single"/>
        </w:rPr>
        <w:t>）、黄赟（18656211500）</w:t>
      </w:r>
    </w:p>
    <w:p>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pPr>
        <w:spacing w:line="360" w:lineRule="auto"/>
        <w:rPr>
          <w:rFonts w:hint="eastAsia" w:ascii="宋体" w:hAnsi="宋体" w:eastAsia="宋体" w:cs="宋体"/>
          <w:b/>
          <w:bCs/>
          <w:sz w:val="24"/>
          <w:szCs w:val="24"/>
        </w:rPr>
      </w:pPr>
    </w:p>
    <w:p>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1、公开招标（竞价）是铜冠建安公司为规范自主采购管理，推进阳光工程而采取的公开竞争性采购方式，公司物资供应部根据阳光工程相关规定通过招标平台进行公开招标（竞价）。</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2、公开招标（竞价）</w:t>
      </w:r>
      <w:r>
        <w:rPr>
          <w:rFonts w:hint="eastAsia" w:ascii="仿宋" w:hAnsi="仿宋" w:eastAsia="仿宋" w:cs="仿宋"/>
          <w:sz w:val="24"/>
          <w:szCs w:val="24"/>
          <w:lang w:eastAsia="zh-CN"/>
        </w:rPr>
        <w:t>为不见面开标</w:t>
      </w:r>
      <w:r>
        <w:rPr>
          <w:rFonts w:hint="eastAsia" w:ascii="仿宋" w:hAnsi="仿宋" w:eastAsia="仿宋" w:cs="仿宋"/>
          <w:sz w:val="24"/>
          <w:szCs w:val="24"/>
        </w:rPr>
        <w:t>。</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一、招标日程安排</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1、招标公告发布日期：</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10</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20</w:t>
      </w:r>
      <w:r>
        <w:rPr>
          <w:rFonts w:hint="eastAsia" w:ascii="仿宋" w:hAnsi="仿宋" w:eastAsia="仿宋" w:cs="仿宋"/>
          <w:sz w:val="24"/>
          <w:szCs w:val="24"/>
          <w:u w:val="single"/>
        </w:rPr>
        <w:t>日</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10</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26</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5、开标时间：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10</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26</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6、发中标通知书时间：另行通知</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7、签订合同时间：另行通知</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pPr>
        <w:spacing w:line="360" w:lineRule="auto"/>
        <w:jc w:val="center"/>
        <w:rPr>
          <w:rFonts w:hint="eastAsia" w:ascii="仿宋" w:hAnsi="仿宋" w:eastAsia="仿宋" w:cs="仿宋"/>
          <w:b/>
          <w:sz w:val="24"/>
          <w:szCs w:val="24"/>
        </w:rPr>
      </w:pPr>
    </w:p>
    <w:p>
      <w:pPr>
        <w:spacing w:line="360" w:lineRule="auto"/>
        <w:jc w:val="left"/>
        <w:rPr>
          <w:rFonts w:hint="eastAsia" w:ascii="仿宋" w:hAnsi="仿宋" w:eastAsia="仿宋" w:cs="仿宋"/>
          <w:sz w:val="24"/>
          <w:szCs w:val="24"/>
          <w:u w:val="single"/>
        </w:rPr>
      </w:pPr>
      <w:r>
        <w:rPr>
          <w:rFonts w:hint="eastAsia" w:ascii="仿宋" w:hAnsi="仿宋" w:eastAsia="仿宋" w:cs="仿宋"/>
          <w:sz w:val="24"/>
          <w:szCs w:val="24"/>
          <w:u w:val="single"/>
        </w:rPr>
        <w:t>本次招标的具体内容如下：</w:t>
      </w:r>
      <w:r>
        <w:rPr>
          <w:rFonts w:hint="eastAsia" w:ascii="仿宋" w:hAnsi="仿宋" w:eastAsia="仿宋" w:cs="仿宋"/>
          <w:b w:val="0"/>
          <w:bCs w:val="0"/>
          <w:color w:val="auto"/>
          <w:sz w:val="24"/>
          <w:szCs w:val="24"/>
          <w:u w:val="single"/>
          <w:lang w:val="en-US" w:eastAsia="zh-CN"/>
        </w:rPr>
        <w:t>钢构-厄瓜多尔浮选项目钢材（H型钢）（详见报价单）</w:t>
      </w:r>
      <w:r>
        <w:rPr>
          <w:rFonts w:hint="eastAsia" w:ascii="仿宋" w:hAnsi="仿宋" w:eastAsia="仿宋" w:cs="仿宋"/>
          <w:sz w:val="24"/>
          <w:szCs w:val="24"/>
          <w:u w:val="single"/>
        </w:rPr>
        <w:t>。</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该招标数量为招标人在现有条件下核定的大约数量，此数量仅作为评标和签订合同数量的依据，不作为中标人最终供货结算数量的依据，最终供货结算数量的增减丝毫不影响投标报价的效力。</w:t>
      </w:r>
    </w:p>
    <w:p>
      <w:pPr>
        <w:spacing w:line="360" w:lineRule="auto"/>
        <w:ind w:firstLine="490" w:firstLineChars="200"/>
        <w:rPr>
          <w:rFonts w:hint="eastAsia" w:ascii="仿宋" w:hAnsi="仿宋" w:eastAsia="仿宋" w:cs="仿宋"/>
          <w:sz w:val="24"/>
          <w:szCs w:val="24"/>
        </w:rPr>
      </w:pPr>
    </w:p>
    <w:p>
      <w:pPr>
        <w:spacing w:line="360" w:lineRule="auto"/>
        <w:rPr>
          <w:rFonts w:hint="eastAsia" w:ascii="仿宋" w:hAnsi="仿宋" w:eastAsia="仿宋" w:cs="仿宋"/>
          <w:sz w:val="24"/>
          <w:szCs w:val="24"/>
          <w:lang w:eastAsia="zh-CN"/>
        </w:rPr>
      </w:pPr>
    </w:p>
    <w:p>
      <w:pPr>
        <w:pStyle w:val="2"/>
        <w:rPr>
          <w:rFonts w:hint="eastAsia"/>
          <w:lang w:eastAsia="zh-CN"/>
        </w:rPr>
      </w:pPr>
    </w:p>
    <w:p>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4、投标人营业执照所列示的经营范围必须涵盖本次招标材料品种。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pPr>
        <w:spacing w:line="360" w:lineRule="auto"/>
        <w:ind w:firstLine="490" w:firstLineChars="200"/>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四、招标公告发布的媒介及招标公告的获取</w:t>
      </w:r>
    </w:p>
    <w:p>
      <w:pPr>
        <w:spacing w:line="360" w:lineRule="auto"/>
        <w:jc w:val="center"/>
        <w:rPr>
          <w:rFonts w:hint="eastAsia" w:ascii="仿宋" w:hAnsi="仿宋" w:eastAsia="仿宋" w:cs="仿宋"/>
          <w:b/>
          <w:sz w:val="24"/>
          <w:szCs w:val="24"/>
        </w:rPr>
      </w:pPr>
    </w:p>
    <w:p>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本次招标公告（包括后期如有对招标文件所作的澄清、修改等。）将在铜冠建筑安装股份有限公司网（http://www.tltgja.com.cn/）在线招标--物资招标上发布。招标公告请投标人自行下载。</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所有招标信息均以以上网站发布为准，其它任何形式的内容不作为招标投标以及开标评标的依据。</w:t>
      </w:r>
    </w:p>
    <w:p>
      <w:pPr>
        <w:spacing w:line="360" w:lineRule="auto"/>
        <w:ind w:firstLine="490" w:firstLineChars="200"/>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3、报名自招标公告发布之日起至</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10</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25</w:t>
      </w:r>
      <w:r>
        <w:rPr>
          <w:rFonts w:hint="eastAsia" w:ascii="仿宋" w:hAnsi="仿宋" w:eastAsia="仿宋" w:cs="仿宋"/>
          <w:sz w:val="24"/>
          <w:szCs w:val="24"/>
          <w:u w:val="single"/>
        </w:rPr>
        <w:t>日17:</w:t>
      </w:r>
      <w:r>
        <w:rPr>
          <w:rFonts w:hint="eastAsia" w:ascii="仿宋" w:hAnsi="仿宋" w:eastAsia="仿宋" w:cs="仿宋"/>
          <w:sz w:val="24"/>
          <w:szCs w:val="24"/>
          <w:u w:val="single"/>
          <w:lang w:val="en-US" w:eastAsia="zh-CN"/>
        </w:rPr>
        <w:t>0</w:t>
      </w:r>
      <w:r>
        <w:rPr>
          <w:rFonts w:hint="eastAsia" w:ascii="仿宋" w:hAnsi="仿宋" w:eastAsia="仿宋" w:cs="仿宋"/>
          <w:sz w:val="24"/>
          <w:szCs w:val="24"/>
          <w:u w:val="single"/>
        </w:rPr>
        <w:t>0止</w:t>
      </w:r>
      <w:r>
        <w:rPr>
          <w:rFonts w:hint="eastAsia" w:ascii="仿宋" w:hAnsi="仿宋" w:eastAsia="仿宋" w:cs="仿宋"/>
          <w:sz w:val="24"/>
          <w:szCs w:val="24"/>
        </w:rPr>
        <w:t>。</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4、报名地点：</w:t>
      </w:r>
      <w:r>
        <w:rPr>
          <w:rFonts w:hint="eastAsia" w:ascii="仿宋" w:hAnsi="仿宋" w:eastAsia="仿宋" w:cs="仿宋"/>
          <w:sz w:val="24"/>
          <w:szCs w:val="24"/>
          <w:u w:val="single"/>
        </w:rPr>
        <w:t>铜冠建筑安装股份有限公司四楼物资供应部，也可通过网络形式报名，将相关资料通过网络发给报名联系人。</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毛文文</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5256639761</w:t>
      </w:r>
      <w:r>
        <w:rPr>
          <w:rFonts w:hint="eastAsia" w:ascii="仿宋" w:hAnsi="仿宋" w:eastAsia="仿宋" w:cs="仿宋"/>
          <w:b w:val="0"/>
          <w:bCs w:val="0"/>
          <w:sz w:val="24"/>
          <w:szCs w:val="24"/>
          <w:u w:val="single"/>
        </w:rPr>
        <w:t>）</w:t>
      </w:r>
    </w:p>
    <w:p>
      <w:pPr>
        <w:spacing w:line="360" w:lineRule="auto"/>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1、投标文件递交的截止时间：</w:t>
      </w:r>
      <w:r>
        <w:rPr>
          <w:rFonts w:hint="eastAsia" w:ascii="仿宋" w:hAnsi="仿宋" w:eastAsia="仿宋" w:cs="仿宋"/>
          <w:sz w:val="24"/>
          <w:szCs w:val="24"/>
          <w:u w:val="single"/>
        </w:rPr>
        <w:t>202</w:t>
      </w:r>
      <w:r>
        <w:rPr>
          <w:rFonts w:hint="eastAsia" w:ascii="仿宋" w:hAnsi="仿宋" w:eastAsia="仿宋" w:cs="仿宋"/>
          <w:sz w:val="24"/>
          <w:szCs w:val="24"/>
          <w:u w:val="single"/>
          <w:lang w:val="en-US" w:eastAsia="zh-CN"/>
        </w:rPr>
        <w:t>3</w:t>
      </w:r>
      <w:r>
        <w:rPr>
          <w:rFonts w:hint="eastAsia" w:ascii="仿宋" w:hAnsi="仿宋" w:eastAsia="仿宋" w:cs="仿宋"/>
          <w:sz w:val="24"/>
          <w:szCs w:val="24"/>
          <w:u w:val="single"/>
        </w:rPr>
        <w:t>年</w:t>
      </w:r>
      <w:r>
        <w:rPr>
          <w:rFonts w:hint="eastAsia" w:ascii="仿宋" w:hAnsi="仿宋" w:eastAsia="仿宋" w:cs="仿宋"/>
          <w:sz w:val="24"/>
          <w:szCs w:val="24"/>
          <w:u w:val="single"/>
          <w:lang w:val="en-US" w:eastAsia="zh-CN"/>
        </w:rPr>
        <w:t>10</w:t>
      </w:r>
      <w:r>
        <w:rPr>
          <w:rFonts w:hint="eastAsia" w:ascii="仿宋" w:hAnsi="仿宋" w:eastAsia="仿宋" w:cs="仿宋"/>
          <w:sz w:val="24"/>
          <w:szCs w:val="24"/>
          <w:u w:val="single"/>
        </w:rPr>
        <w:t>月</w:t>
      </w:r>
      <w:r>
        <w:rPr>
          <w:rFonts w:hint="eastAsia" w:ascii="仿宋" w:hAnsi="仿宋" w:eastAsia="仿宋" w:cs="仿宋"/>
          <w:sz w:val="24"/>
          <w:szCs w:val="24"/>
          <w:u w:val="single"/>
          <w:lang w:val="en-US" w:eastAsia="zh-CN"/>
        </w:rPr>
        <w:t>26</w:t>
      </w:r>
      <w:r>
        <w:rPr>
          <w:rFonts w:hint="eastAsia" w:ascii="仿宋" w:hAnsi="仿宋" w:eastAsia="仿宋" w:cs="仿宋"/>
          <w:sz w:val="24"/>
          <w:szCs w:val="24"/>
          <w:u w:val="single"/>
        </w:rPr>
        <w:t>日9:00</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pPr>
        <w:spacing w:line="360" w:lineRule="auto"/>
        <w:jc w:val="center"/>
        <w:rPr>
          <w:rFonts w:hint="eastAsia" w:ascii="仿宋" w:hAnsi="仿宋" w:eastAsia="仿宋" w:cs="仿宋"/>
          <w:b/>
          <w:sz w:val="24"/>
          <w:szCs w:val="24"/>
          <w:lang w:val="en-US" w:eastAsia="zh-CN"/>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pPr>
        <w:spacing w:line="360" w:lineRule="auto"/>
        <w:jc w:val="center"/>
        <w:rPr>
          <w:rFonts w:hint="eastAsia" w:ascii="仿宋" w:hAnsi="仿宋" w:eastAsia="仿宋" w:cs="仿宋"/>
          <w:b/>
          <w:sz w:val="24"/>
          <w:szCs w:val="24"/>
        </w:rPr>
      </w:pP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1、与本次招标材料的质量相关要求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（2）投标文件密封袋封口处应密封完整，加盖投标单位公章，并且注明招标编号及材料名称。因投标人制作、密封、寄送报价文件不符合要求的视为无效投标。</w:t>
      </w:r>
    </w:p>
    <w:p>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本次招标的材料由中标人负责运输。运输过程中未按相关安全、环保等要求所导致的一切安全生产事故由中标人承担责任。</w:t>
      </w:r>
    </w:p>
    <w:p>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pPr>
        <w:pStyle w:val="2"/>
        <w:spacing w:line="360" w:lineRule="auto"/>
        <w:ind w:left="0" w:leftChars="0" w:firstLine="0" w:firstLineChars="0"/>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pPr>
        <w:spacing w:line="360" w:lineRule="auto"/>
        <w:jc w:val="center"/>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5、中标通知：招标人以书面形式向中标人发出中标通知书。</w:t>
      </w: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6、招标人和中标人应当自中标通知书发出之日起三十日内，按照招标文件和中标人的投标文件订立书面合同，招标人和中标人不得再行订立背离本次招标实质性内容的其他协议。</w:t>
      </w:r>
    </w:p>
    <w:p>
      <w:pPr>
        <w:spacing w:line="360" w:lineRule="auto"/>
        <w:rPr>
          <w:rFonts w:hint="eastAsia" w:ascii="仿宋" w:hAnsi="仿宋" w:eastAsia="仿宋" w:cs="仿宋"/>
          <w:sz w:val="24"/>
          <w:szCs w:val="24"/>
        </w:rPr>
      </w:pPr>
    </w:p>
    <w:p>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pPr>
        <w:spacing w:line="360" w:lineRule="auto"/>
        <w:rPr>
          <w:rFonts w:hint="eastAsia" w:ascii="仿宋" w:hAnsi="仿宋" w:eastAsia="仿宋" w:cs="仿宋"/>
          <w:b/>
          <w:sz w:val="24"/>
          <w:szCs w:val="24"/>
        </w:rPr>
      </w:pPr>
    </w:p>
    <w:p>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sz w:val="24"/>
          <w:szCs w:val="24"/>
        </w:rPr>
      </w:pPr>
    </w:p>
    <w:p>
      <w:pPr>
        <w:pStyle w:val="2"/>
        <w:rPr>
          <w:rFonts w:hint="eastAsia"/>
        </w:rPr>
      </w:pPr>
    </w:p>
    <w:p>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pPr>
        <w:spacing w:line="360" w:lineRule="auto"/>
        <w:jc w:val="center"/>
        <w:rPr>
          <w:rFonts w:hint="eastAsia" w:ascii="仿宋" w:hAnsi="仿宋" w:eastAsia="仿宋" w:cs="仿宋"/>
          <w:b/>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pPr>
        <w:spacing w:before="156" w:beforeLines="50" w:after="156" w:afterLines="50" w:line="360" w:lineRule="auto"/>
        <w:ind w:firstLine="490" w:firstLineChars="200"/>
        <w:rPr>
          <w:rFonts w:hint="eastAsia" w:ascii="仿宋" w:hAnsi="仿宋" w:eastAsia="仿宋" w:cs="仿宋"/>
          <w:sz w:val="24"/>
          <w:szCs w:val="24"/>
        </w:rPr>
      </w:pP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pPr>
        <w:spacing w:before="156" w:beforeLines="50" w:after="156" w:afterLines="50" w:line="360" w:lineRule="auto"/>
        <w:rPr>
          <w:rFonts w:hint="eastAsia" w:ascii="仿宋" w:hAnsi="仿宋" w:eastAsia="仿宋" w:cs="仿宋"/>
          <w:sz w:val="24"/>
          <w:szCs w:val="24"/>
        </w:rPr>
      </w:pPr>
    </w:p>
    <w:p>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pPr>
        <w:spacing w:line="360" w:lineRule="auto"/>
        <w:rPr>
          <w:rFonts w:hint="eastAsia" w:ascii="仿宋" w:hAnsi="仿宋" w:eastAsia="仿宋" w:cs="仿宋"/>
          <w:sz w:val="24"/>
          <w:szCs w:val="24"/>
          <w:u w:val="single"/>
        </w:rPr>
      </w:pPr>
    </w:p>
    <w:p>
      <w:pPr>
        <w:spacing w:line="360" w:lineRule="auto"/>
        <w:rPr>
          <w:rFonts w:hint="eastAsia" w:ascii="仿宋" w:hAnsi="仿宋" w:eastAsia="仿宋" w:cs="仿宋"/>
          <w:sz w:val="24"/>
          <w:szCs w:val="24"/>
          <w:u w:val="single"/>
        </w:rPr>
      </w:pPr>
    </w:p>
    <w:p>
      <w:pPr>
        <w:pStyle w:val="2"/>
        <w:spacing w:line="360" w:lineRule="auto"/>
        <w:rPr>
          <w:rFonts w:hint="eastAsia" w:ascii="仿宋" w:hAnsi="仿宋" w:eastAsia="仿宋" w:cs="仿宋"/>
          <w:sz w:val="24"/>
          <w:szCs w:val="24"/>
        </w:rPr>
      </w:pPr>
    </w:p>
    <w:p>
      <w:pPr>
        <w:pStyle w:val="2"/>
        <w:spacing w:line="360" w:lineRule="auto"/>
        <w:rPr>
          <w:rFonts w:hint="eastAsia" w:ascii="仿宋" w:hAnsi="仿宋" w:eastAsia="仿宋" w:cs="仿宋"/>
          <w:sz w:val="24"/>
          <w:szCs w:val="24"/>
        </w:rPr>
      </w:pPr>
    </w:p>
    <w:p>
      <w:pPr>
        <w:spacing w:line="360" w:lineRule="auto"/>
        <w:jc w:val="center"/>
        <w:rPr>
          <w:rFonts w:hint="eastAsia" w:ascii="仿宋" w:hAnsi="仿宋" w:eastAsia="仿宋" w:cs="仿宋"/>
          <w:b/>
          <w:sz w:val="24"/>
          <w:szCs w:val="24"/>
        </w:rPr>
      </w:pPr>
    </w:p>
    <w:p>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pPr>
        <w:spacing w:line="360" w:lineRule="auto"/>
        <w:ind w:firstLine="490" w:firstLineChars="200"/>
        <w:rPr>
          <w:rFonts w:hint="eastAsia" w:ascii="仿宋" w:hAnsi="仿宋" w:eastAsia="仿宋" w:cs="仿宋"/>
          <w:sz w:val="24"/>
          <w:szCs w:val="24"/>
        </w:rPr>
      </w:pPr>
    </w:p>
    <w:p>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投标，为加强招投标管理和廉政建设，防止发生各种谋取不正当利益的违法违纪行为、规范双方的各项活动，保护当事人及所属公司的合法权益，供方承诺：</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pPr>
        <w:spacing w:line="360" w:lineRule="auto"/>
        <w:ind w:firstLine="490" w:firstLineChars="200"/>
        <w:rPr>
          <w:rFonts w:hint="eastAsia" w:ascii="仿宋" w:hAnsi="仿宋" w:eastAsia="仿宋" w:cs="仿宋"/>
          <w:color w:val="000000"/>
          <w:sz w:val="24"/>
          <w:szCs w:val="24"/>
          <w:u w:val="single"/>
        </w:rPr>
      </w:pPr>
    </w:p>
    <w:p>
      <w:pPr>
        <w:spacing w:line="360" w:lineRule="auto"/>
        <w:ind w:firstLine="4655" w:firstLineChars="1900"/>
        <w:rPr>
          <w:rFonts w:hint="eastAsia" w:ascii="仿宋" w:hAnsi="仿宋" w:eastAsia="仿宋" w:cs="仿宋"/>
          <w:sz w:val="24"/>
          <w:szCs w:val="24"/>
        </w:rPr>
      </w:pPr>
    </w:p>
    <w:p>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细黑">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