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宋体"/>
          <w:b/>
          <w:bCs/>
          <w:sz w:val="44"/>
          <w:szCs w:val="44"/>
          <w:u w:val="single"/>
        </w:rPr>
      </w:pPr>
    </w:p>
    <w:p>
      <w:pPr>
        <w:spacing w:line="70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>第二事业部</w:t>
      </w:r>
      <w:r>
        <w:rPr>
          <w:rFonts w:hint="eastAsia" w:ascii="宋体" w:hAnsi="宋体" w:cs="宋体"/>
          <w:b/>
          <w:bCs/>
          <w:sz w:val="44"/>
          <w:szCs w:val="44"/>
          <w:u w:val="single"/>
          <w:lang w:eastAsia="zh-CN"/>
        </w:rPr>
        <w:t>铜山金磊项目商品混凝土</w:t>
      </w:r>
      <w:r>
        <w:rPr>
          <w:rFonts w:hint="eastAsia" w:ascii="仿宋" w:hAnsi="仿宋" w:eastAsia="仿宋" w:cs="仿宋"/>
          <w:b/>
          <w:bCs/>
          <w:kern w:val="1"/>
          <w:sz w:val="44"/>
          <w:szCs w:val="44"/>
          <w:u w:val="single"/>
        </w:rPr>
        <w:t>Ⅱ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72"/>
          <w:szCs w:val="72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二次挂网</w:t>
      </w:r>
      <w:r>
        <w:rPr>
          <w:rFonts w:hint="eastAsia" w:ascii="宋体" w:hAnsi="宋体" w:eastAsia="宋体" w:cs="宋体"/>
          <w:b/>
          <w:sz w:val="44"/>
          <w:szCs w:val="44"/>
        </w:rPr>
        <w:t>招标文件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rPr>
          <w:rFonts w:hint="default" w:ascii="仿宋" w:hAnsi="仿宋" w:eastAsia="仿宋" w:cs="仿宋_GB2312"/>
          <w:b/>
          <w:bCs/>
          <w:sz w:val="32"/>
          <w:szCs w:val="32"/>
          <w:u w:val="single"/>
          <w:lang w:val="en-US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招标编号：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TGJA-WZ-202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3105-2</w:t>
      </w:r>
    </w:p>
    <w:p>
      <w:pPr>
        <w:rPr>
          <w:rFonts w:ascii="仿宋" w:hAnsi="仿宋" w:eastAsia="仿宋" w:cs="仿宋_GB2312"/>
          <w:b/>
          <w:bCs/>
          <w:sz w:val="32"/>
          <w:szCs w:val="32"/>
          <w:highlight w:val="cyan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招标公告发布日期：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7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日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招 标 人: 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铜陵有色金属集团铜冠建筑安装股份有限公司</w:t>
      </w:r>
    </w:p>
    <w:p>
      <w:pPr>
        <w:rPr>
          <w:rFonts w:ascii="仿宋" w:hAnsi="仿宋" w:eastAsia="仿宋" w:cs="仿宋_GB2312"/>
          <w:b/>
          <w:bCs/>
          <w:sz w:val="32"/>
          <w:szCs w:val="32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联 系 人：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eastAsia="zh-CN"/>
        </w:rPr>
        <w:t>叶明陵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13865621916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）、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eastAsia="zh-CN"/>
        </w:rPr>
        <w:t>任凡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15656263008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）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【声明】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1、公开招标（竞价）是铜冠建安公司为规范自主采购管理，推进阳光工程而采取的公开竞争性采购方式，公司物资供应部根据阳光工程相关规定通过招标平台进行公开招标（竞价）。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2、公开招标（竞价）在铜冠建安公司纪委监督下进行。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一、招标日程安排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  <w:shd w:val="clear" w:color="FFFFFF" w:fill="D9D9D9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1、招标公告发布日期：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2、投标截止时间：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3、投标文件递交地点：铜陵有色金属集团铜冠建筑安装股份有限公司审计监察室（</w:t>
      </w:r>
      <w:r>
        <w:rPr>
          <w:rFonts w:hint="eastAsia" w:ascii="仿宋" w:hAnsi="仿宋" w:eastAsia="仿宋" w:cs="仿宋_GB2312"/>
          <w:sz w:val="28"/>
          <w:szCs w:val="28"/>
        </w:rPr>
        <w:t>黄山大道南段879号主楼四楼</w:t>
      </w:r>
      <w:r>
        <w:rPr>
          <w:rFonts w:hint="eastAsia" w:ascii="仿宋_GB2312" w:hAnsi="仿宋_GB2312" w:eastAsia="仿宋_GB2312" w:cs="仿宋_GB2312"/>
          <w:sz w:val="28"/>
          <w:szCs w:val="28"/>
        </w:rPr>
        <w:t>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4、投标文件收件人：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5、开标时间：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27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6、发中标通知书时间：另行通知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7、签订合同时间：另行通知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二、招标内容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本次招标的具体内容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：详见报价单。</w:t>
      </w: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说明：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该招标数量为招标人在现有条件下核定的大约数量，此数量仅作为评标和签订合同数量的依据，不作为中标人最终供货结算数量的依据，最终供货结算数量的增减丝毫不影响投标报价的效力。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三、投标人资格要求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1、在中华人民共和国境内依法经国家工商、税务机关登记注册。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2、投标人须为一般纳税人或小规模纳税人。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3、投标人提供的相关资质证件均须在年审有效期内。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4、投标人营业执照所列示的经营范围必须涵盖本次招标材料品种。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green"/>
        </w:rPr>
      </w:pPr>
      <w:r>
        <w:rPr>
          <w:rFonts w:hint="eastAsia" w:ascii="仿宋" w:hAnsi="仿宋" w:eastAsia="仿宋" w:cs="仿宋_GB2312"/>
          <w:sz w:val="28"/>
          <w:szCs w:val="28"/>
        </w:rPr>
        <w:t>5、有生产经营和安全许可要求的，必须有相应有效的许可证。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6、投标人近三年无重大失信和违法、违纪行为等不良记录。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四、招标公告发布的媒介及招标公告的获取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本次招标公告（包括后期如有对招标文件所作的澄清、修改等。）将在铜冠建筑安装股份有限公司网（</w:t>
      </w:r>
      <w:r>
        <w:rPr>
          <w:rFonts w:ascii="仿宋" w:hAnsi="仿宋" w:eastAsia="仿宋" w:cs="仿宋_GB2312"/>
          <w:sz w:val="28"/>
          <w:szCs w:val="28"/>
        </w:rPr>
        <w:t>http://www.tltgja.com.cn/</w:t>
      </w:r>
      <w:r>
        <w:rPr>
          <w:rFonts w:hint="eastAsia" w:ascii="仿宋" w:hAnsi="仿宋" w:eastAsia="仿宋" w:cs="仿宋_GB2312"/>
          <w:sz w:val="28"/>
          <w:szCs w:val="28"/>
        </w:rPr>
        <w:t>）在线招标--物资招标上发布。招标公告请投标人自行下载。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所有招标信息均以以上网站发布为准，其它任何形式的内容不作为招标投标以及开标评标的依据。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  <w:r>
        <w:rPr>
          <w:rFonts w:hint="eastAsia" w:ascii="仿宋_GB2312" w:hAnsi="宋体" w:eastAsia="仿宋_GB2312" w:cs="仿宋_GB2312"/>
          <w:b/>
          <w:sz w:val="36"/>
          <w:szCs w:val="36"/>
        </w:rPr>
        <w:t>五、投标报名</w:t>
      </w: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1、各投标人需在开标之前至铜陵有色建安公司报名。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2、报名时投标人需提供报名资料。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报名资料包括加盖公章的营业执照副本的复印件、法人身份证复印件（经办人不是法人代表的要提供法人代表授权委托书、代理人身份证复印件）等资料。</w:t>
      </w:r>
    </w:p>
    <w:p>
      <w:pPr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3、报名自招标公告发布之日起至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26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0止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报名后资格审查未通过或未按相关要求报名的投标资料按废标处理。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5、报名地点：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铜冠建安公司物资供应部（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黄山大道南段879号主楼四楼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）也可通过网络形式报名，将相关资料通过网络发给报名联系人。</w:t>
      </w:r>
    </w:p>
    <w:p>
      <w:pPr>
        <w:ind w:firstLine="560" w:firstLineChars="200"/>
        <w:rPr>
          <w:rFonts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6、联 系 人：</w:t>
      </w:r>
      <w:r>
        <w:rPr>
          <w:rFonts w:hint="eastAsia" w:ascii="仿宋" w:hAnsi="仿宋" w:eastAsia="仿宋" w:cs="仿宋_GB2312"/>
          <w:sz w:val="32"/>
          <w:szCs w:val="32"/>
          <w:u w:val="single"/>
          <w:lang w:eastAsia="zh-CN"/>
        </w:rPr>
        <w:t>叶明陵（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13865621916</w:t>
      </w:r>
      <w:r>
        <w:rPr>
          <w:rFonts w:hint="eastAsia" w:ascii="仿宋" w:hAnsi="仿宋" w:eastAsia="仿宋" w:cs="仿宋_GB2312"/>
          <w:sz w:val="32"/>
          <w:szCs w:val="32"/>
          <w:u w:val="single"/>
          <w:lang w:eastAsia="zh-CN"/>
        </w:rPr>
        <w:t>）、任凡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（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15656263008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）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spacing w:line="56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六、保证金</w:t>
      </w:r>
    </w:p>
    <w:p>
      <w:pPr>
        <w:spacing w:line="56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1、为严肃和规范投标行为，确保投标的顺利以及中标后合同的有效执行，投标人须向招标人缴纳投标保证金，本次需缴纳投标保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证金</w:t>
      </w:r>
      <w:r>
        <w:rPr>
          <w:rFonts w:hint="eastAsia" w:ascii="仿宋" w:hAnsi="仿宋" w:eastAsia="仿宋" w:cs="仿宋_GB2312"/>
          <w:b/>
          <w:bCs/>
          <w:color w:val="000000"/>
          <w:sz w:val="28"/>
          <w:szCs w:val="28"/>
          <w:u w:val="single"/>
          <w:lang w:eastAsia="zh-CN"/>
        </w:rPr>
        <w:t>肆</w:t>
      </w:r>
      <w:r>
        <w:rPr>
          <w:rFonts w:hint="eastAsia" w:ascii="仿宋" w:hAnsi="仿宋" w:eastAsia="仿宋" w:cs="仿宋_GB2312"/>
          <w:b/>
          <w:bCs/>
          <w:color w:val="000000"/>
          <w:sz w:val="28"/>
          <w:szCs w:val="28"/>
          <w:u w:val="single"/>
        </w:rPr>
        <w:t>万元整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；</w:t>
      </w:r>
      <w:r>
        <w:rPr>
          <w:rFonts w:hint="eastAsia" w:ascii="仿宋" w:hAnsi="仿宋" w:eastAsia="仿宋" w:cs="仿宋_GB2312"/>
          <w:sz w:val="28"/>
          <w:szCs w:val="28"/>
        </w:rPr>
        <w:t>（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投标文件内附汇款凭证复印件。如投标人在铜冠建安公司（含各分子公司）有超过投标保证金数额的应收欠款，可以出具承诺书的方式将足额应收欠款转为投标保证金，承诺书作为投标资料的一部分，并附铜冠建安公司（含各分子公司）财务出具的加盖财务专用章的应收欠款证明。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无投标保证金或未出具投标保证金承诺书视为无效投标。</w:t>
      </w:r>
      <w:r>
        <w:rPr>
          <w:rFonts w:hint="eastAsia" w:ascii="仿宋" w:hAnsi="仿宋" w:eastAsia="仿宋" w:cs="仿宋_GB2312"/>
          <w:sz w:val="28"/>
          <w:szCs w:val="28"/>
        </w:rPr>
        <w:t>投标保证金须对公账户转账，不接受个人账户转账，同时要求注明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铜陵铜冠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  <w:lang w:eastAsia="zh-CN"/>
        </w:rPr>
        <w:t>建安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公司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  <w:lang w:eastAsia="zh-CN"/>
        </w:rPr>
        <w:t>第二事业部铜山金磊商品混凝土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材料TGJA-WZ-202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  <w:lang w:val="en-US" w:eastAsia="zh-CN"/>
        </w:rPr>
        <w:t>3105-2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投标保证金</w:t>
      </w:r>
    </w:p>
    <w:p>
      <w:pPr>
        <w:spacing w:line="560" w:lineRule="exact"/>
        <w:ind w:firstLine="562" w:firstLineChars="200"/>
        <w:jc w:val="left"/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  <w:t xml:space="preserve">2、下列任何情况发生时，投标保证金将被不予退还： 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（1）投标人在投标截止后至投标有效期内撤回投标文件的； 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（2）中标人未能在规定期限内按照招标文件签订合同协议；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（3）签署合同后，未能在规定的时间内提供履约保证金；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（4）投标人在招标中存在违规和违法行为的。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（5）中标人因自身原因放弃中标资格的。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3、在签订合同前，中标人须交纳履约保证金。履约保证金金额为中标合同总金额的 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10% </w:t>
      </w:r>
      <w:r>
        <w:rPr>
          <w:rFonts w:hint="eastAsia" w:ascii="仿宋" w:hAnsi="仿宋" w:eastAsia="仿宋" w:cs="仿宋_GB2312"/>
          <w:sz w:val="28"/>
          <w:szCs w:val="28"/>
        </w:rPr>
        <w:t>（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如中标人在铜冠建安公司（含各分子公司）有超过履约保证金数额的应收欠款，可以出具承诺书的方式承诺将足额欠款转为履约保证金，并附铜冠建安公司（含各分子公司）财务出具加盖财务专用章的应收欠款证明。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或以货款抵扣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4、招标人与中标人签订合同后</w:t>
      </w:r>
      <w:r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  <w:t>7</w:t>
      </w:r>
      <w:r>
        <w:rPr>
          <w:rFonts w:hint="eastAsia" w:ascii="仿宋" w:hAnsi="仿宋" w:eastAsia="仿宋" w:cs="仿宋_GB2312"/>
          <w:sz w:val="28"/>
          <w:szCs w:val="28"/>
        </w:rPr>
        <w:t>日内，向未中标的投标人退还投标保证金（无息），中标人在签订合同并交纳履约保证金后退还投标保证金（无息）。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5、公司对公账户信息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账户名称：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铜陵有色金属集团铜冠建筑安装股份有限公司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账    号：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1308024009200056147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开 户 行：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工行铜陵铜都支行</w:t>
      </w: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 xml:space="preserve"> </w:t>
      </w: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  <w:lang w:eastAsia="zh-CN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  <w:lang w:eastAsia="zh-CN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七、</w:t>
      </w:r>
      <w:r>
        <w:rPr>
          <w:rFonts w:hint="eastAsia" w:ascii="仿宋" w:hAnsi="仿宋" w:eastAsia="仿宋" w:cs="仿宋_GB2312"/>
          <w:b/>
          <w:sz w:val="36"/>
          <w:szCs w:val="36"/>
        </w:rPr>
        <w:t>投标文件的递交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sz w:val="28"/>
          <w:szCs w:val="28"/>
        </w:rPr>
        <w:t>1、投标文件递交的截止时间：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日9:00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2、投标文件递交地点：铜陵有色金属集团铜冠建筑安装股份有限公司经营部（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黄山大道南段879号主楼四楼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3、投标文件收件人：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4、逾期送达的或未按规定送达指定地点的投标文件，招标人不予受理。</w:t>
      </w: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八</w:t>
      </w:r>
      <w:r>
        <w:rPr>
          <w:rFonts w:hint="eastAsia" w:ascii="仿宋" w:hAnsi="仿宋" w:eastAsia="仿宋" w:cs="仿宋_GB2312"/>
          <w:b/>
          <w:sz w:val="36"/>
          <w:szCs w:val="36"/>
        </w:rPr>
        <w:t>、投标人须知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1、与本次招标材料的质量相关要求</w:t>
      </w:r>
    </w:p>
    <w:p>
      <w:pPr>
        <w:spacing w:line="560" w:lineRule="exact"/>
        <w:ind w:firstLine="638" w:firstLineChars="228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（1）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材料质量要求：符合</w:t>
      </w:r>
      <w:r>
        <w:rPr>
          <w:rFonts w:ascii="仿宋" w:hAnsi="仿宋" w:eastAsia="仿宋" w:cs="仿宋_GB2312"/>
          <w:sz w:val="28"/>
          <w:szCs w:val="28"/>
          <w:u w:val="single"/>
        </w:rPr>
        <w:t>《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预拌混凝土</w:t>
      </w:r>
      <w:r>
        <w:rPr>
          <w:rFonts w:ascii="仿宋" w:hAnsi="仿宋" w:eastAsia="仿宋" w:cs="仿宋_GB2312"/>
          <w:sz w:val="28"/>
          <w:szCs w:val="28"/>
          <w:u w:val="single"/>
        </w:rPr>
        <w:t>》GB/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T1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4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902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-201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（2）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投标人如若中标，提供的所有材料必须符合技术指标要求，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>以招标人抽样检验为准。所供材料如未达到技术指标要求，中标人应立即停供。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（3）若达不到招标人要求的，中标人无条件将该批货物拉回且不计货款，动用招标人机械的收取相应费用。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（4）按招标人提供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计划</w:t>
      </w:r>
      <w:r>
        <w:rPr>
          <w:rFonts w:hint="eastAsia" w:ascii="仿宋" w:hAnsi="仿宋" w:eastAsia="仿宋" w:cs="仿宋_GB2312"/>
          <w:sz w:val="28"/>
          <w:szCs w:val="28"/>
        </w:rPr>
        <w:t>生产，分批发货；每批发货前，招标人提前</w:t>
      </w:r>
      <w:r>
        <w:rPr>
          <w:rFonts w:hint="eastAsia" w:ascii="仿宋" w:hAnsi="仿宋" w:eastAsia="仿宋" w:cs="仿宋_GB2312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</w:rPr>
        <w:t>天通知具体发货明细。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（5）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因材料产品质量不合格所造成的相关质量问题，没收中标人履约保证金，同时对相关质量问题所引发的返工、耽误工期、对业主单位的生产影响等所有相关损失，中标人承担相应责任。</w:t>
      </w:r>
    </w:p>
    <w:p>
      <w:pPr>
        <w:ind w:firstLine="638" w:firstLineChars="228"/>
        <w:rPr>
          <w:rFonts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2、付款方式</w:t>
      </w:r>
    </w:p>
    <w:p>
      <w:pPr>
        <w:spacing w:line="560" w:lineRule="exact"/>
        <w:ind w:firstLine="638" w:firstLineChars="228"/>
        <w:rPr>
          <w:rFonts w:ascii="仿宋_GB2312" w:hAnsi="仿宋_GB2312" w:eastAsia="仿宋_GB2312" w:cs="仿宋_GB2312"/>
          <w:sz w:val="28"/>
          <w:szCs w:val="28"/>
          <w:highlight w:val="green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合同签订后，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根据到货情况，货到验收合格后开具发票，入账次月支付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0%，春节前支付至80%，剩余20%该春节后两年内付清。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</w:rPr>
        <w:t>货款以对公转账方式支付至供方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  <w:lang w:eastAsia="zh-CN"/>
        </w:rPr>
        <w:t>对公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</w:rPr>
        <w:t>账户，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  <w:lang w:eastAsia="zh-CN"/>
        </w:rPr>
        <w:t>支付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</w:rPr>
        <w:t>电汇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  <w:lang w:eastAsia="zh-CN"/>
        </w:rPr>
        <w:t>或不超过合同总金额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  <w:lang w:val="en-US" w:eastAsia="zh-CN"/>
        </w:rPr>
        <w:t>50%的6个月内银行电子承兑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single"/>
          <w:shd w:val="clear" w:color="auto" w:fill="FFFFFF"/>
        </w:rPr>
        <w:t>。</w:t>
      </w:r>
    </w:p>
    <w:p>
      <w:pPr>
        <w:spacing w:line="440" w:lineRule="exact"/>
        <w:ind w:firstLine="560" w:firstLineChars="200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638" w:firstLineChars="228"/>
        <w:rPr>
          <w:rFonts w:ascii="仿宋" w:hAnsi="仿宋" w:eastAsia="仿宋" w:cs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3、报价</w:t>
      </w:r>
      <w:r>
        <w:rPr>
          <w:rFonts w:hint="eastAsia" w:ascii="仿宋" w:hAnsi="仿宋" w:eastAsia="仿宋" w:cs="仿宋_GB2312"/>
          <w:b w:val="0"/>
          <w:bCs w:val="0"/>
          <w:sz w:val="28"/>
          <w:szCs w:val="28"/>
        </w:rPr>
        <w:t>相关要求</w:t>
      </w:r>
    </w:p>
    <w:p>
      <w:pPr>
        <w:ind w:firstLine="638" w:firstLineChars="228"/>
        <w:rPr>
          <w:rFonts w:ascii="仿宋" w:hAnsi="仿宋" w:eastAsia="仿宋" w:cs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_GB2312"/>
          <w:b w:val="0"/>
          <w:bCs w:val="0"/>
          <w:sz w:val="28"/>
          <w:szCs w:val="28"/>
        </w:rPr>
        <w:t>（1）</w:t>
      </w:r>
      <w:r>
        <w:rPr>
          <w:rFonts w:hint="eastAsia" w:ascii="仿宋" w:hAnsi="仿宋" w:eastAsia="仿宋" w:cs="仿宋_GB2312"/>
          <w:b w:val="0"/>
          <w:bCs w:val="0"/>
          <w:sz w:val="28"/>
          <w:szCs w:val="28"/>
          <w:u w:val="single"/>
        </w:rPr>
        <w:t>本次报价按池州市贵池区</w:t>
      </w:r>
      <w:r>
        <w:rPr>
          <w:rFonts w:hint="eastAsia" w:ascii="仿宋" w:hAnsi="仿宋" w:eastAsia="仿宋" w:cs="仿宋_GB2312"/>
          <w:b w:val="0"/>
          <w:bCs w:val="0"/>
          <w:sz w:val="28"/>
          <w:szCs w:val="28"/>
          <w:u w:val="single"/>
          <w:lang w:eastAsia="zh-CN"/>
        </w:rPr>
        <w:t>当月含税</w:t>
      </w:r>
      <w:r>
        <w:rPr>
          <w:rFonts w:hint="eastAsia" w:ascii="仿宋" w:hAnsi="仿宋" w:eastAsia="仿宋" w:cs="仿宋_GB2312"/>
          <w:b w:val="0"/>
          <w:bCs w:val="0"/>
          <w:sz w:val="28"/>
          <w:szCs w:val="28"/>
          <w:u w:val="single"/>
        </w:rPr>
        <w:t>信息价下浮百分数。</w:t>
      </w:r>
    </w:p>
    <w:p>
      <w:pPr>
        <w:ind w:firstLine="638" w:firstLineChars="228"/>
        <w:rPr>
          <w:rFonts w:ascii="仿宋" w:hAnsi="仿宋" w:eastAsia="仿宋" w:cs="仿宋_GB2312"/>
          <w:b w:val="0"/>
          <w:bCs w:val="0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b w:val="0"/>
          <w:bCs w:val="0"/>
          <w:sz w:val="28"/>
          <w:szCs w:val="28"/>
        </w:rPr>
        <w:t>（2）</w:t>
      </w:r>
      <w:r>
        <w:rPr>
          <w:rFonts w:hint="eastAsia" w:ascii="仿宋" w:hAnsi="仿宋" w:eastAsia="仿宋" w:cs="仿宋_GB2312"/>
          <w:b w:val="0"/>
          <w:bCs w:val="0"/>
          <w:sz w:val="28"/>
          <w:szCs w:val="28"/>
          <w:u w:val="single"/>
        </w:rPr>
        <w:t>报价为含税（税率必须注明）、含运费价。</w:t>
      </w:r>
    </w:p>
    <w:p>
      <w:pPr>
        <w:ind w:firstLine="638" w:firstLineChars="228"/>
        <w:rPr>
          <w:rFonts w:ascii="仿宋" w:hAnsi="仿宋" w:eastAsia="仿宋" w:cs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_GB2312"/>
          <w:b w:val="0"/>
          <w:bCs w:val="0"/>
          <w:sz w:val="28"/>
          <w:szCs w:val="28"/>
        </w:rPr>
        <w:t>（3）各投标单位在投标报价前应仔细审阅招标公告、报价表及报价说明等与此次报价相关的所有资料。报价要谨慎，一旦中标，视为理解并考虑了我公司一切要求的报价，不得以任何理由变更。</w:t>
      </w:r>
    </w:p>
    <w:p>
      <w:pPr>
        <w:ind w:firstLine="560" w:firstLineChars="200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4、标书相关要求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（1）投标人法定代表人应</w:t>
      </w:r>
      <w:r>
        <w:rPr>
          <w:rFonts w:hint="eastAsia" w:ascii="仿宋" w:hAnsi="仿宋" w:eastAsia="仿宋" w:cs="仿宋"/>
          <w:sz w:val="28"/>
          <w:szCs w:val="28"/>
        </w:rPr>
        <w:t>在报价单相应位置签字及加盖公章，如经办人不是法人代表，须提供本人身份证复印件、法人身份证复印件、投标廉洁承诺书及有法人代表签字的《法人代表授权书》并加盖公章作为投标资料的一部分。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（2）投标文件密封袋封口处应密封完整，加盖投标单位公章，并且注明招标编号及材料名称。因投标人制作、密封、寄送报价文件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不符合要求的视为无效投标。</w:t>
      </w:r>
    </w:p>
    <w:p>
      <w:pPr>
        <w:ind w:firstLine="565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投标人的所有报价文件，除《法定代表人授权书》中的法定代表人签名、投标廉洁承诺书中的承诺人签字、报价单中的法定代表人或授权委托人签名须手写以外，其他填写的内容均为加盖单位公章的打印件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（4）装订要求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密封袋封口处应密封严实，并应加盖投标人公章。未按装订要求装订的，我公司不负责相关保密要求，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同时视为无效投标。</w:t>
      </w:r>
    </w:p>
    <w:p>
      <w:pPr>
        <w:ind w:firstLine="638" w:firstLineChars="228"/>
        <w:rPr>
          <w:rFonts w:hint="eastAsia" w:ascii="仿宋" w:hAnsi="仿宋" w:eastAsia="仿宋" w:cs="仿宋_GB2312"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</w:rPr>
        <w:t>5、交货地点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、收货人</w:t>
      </w:r>
    </w:p>
    <w:p>
      <w:pPr>
        <w:ind w:firstLine="638" w:firstLineChars="228"/>
        <w:rPr>
          <w:rFonts w:hint="default" w:ascii="仿宋" w:hAnsi="仿宋" w:eastAsia="仿宋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材料送至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铜山金磊项目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施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工现场。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收货人：夏光慧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13865624489。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本次招标的材料由中标人负责运输至指定地点。运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输过程中未按相关安全、环保等要求所导致的一切安全、环保事故由中标人承担责任。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7、供货数量验收确认方式</w:t>
      </w:r>
    </w:p>
    <w:p>
      <w:pPr>
        <w:spacing w:line="312" w:lineRule="auto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招标人每批次需用混凝土时,必须提前一天用书面订单、传真或电话通知中标人，日所需混凝土总量超过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500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m³</w:t>
      </w:r>
      <w:r>
        <w:rPr>
          <w:rFonts w:hint="eastAsia" w:ascii="仿宋" w:hAnsi="仿宋" w:eastAsia="仿宋" w:cs="仿宋"/>
          <w:sz w:val="28"/>
          <w:szCs w:val="28"/>
          <w:u w:val="single"/>
        </w:rPr>
        <w:t>时,须提前二天通知中标人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中标人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应根据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的通知要求，及时安排生产和发货，并应保证混凝土运输的连续性。如遇特殊原因，预计无法按照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要求供货时，必须在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供货通知发出后2小时内通知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，在征得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同意后可暂停供货。如未征得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同意，即视为延期交货。每延期交货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半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天，按照延误情况的轻重，对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中标人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处以2000-5000元的罚款，累计计算。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发现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中标人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供货数量不足或提供不合格产品，均视同延期交货。对发生两次延期交货的，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有权自行安排其他供应商供货，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中标人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不得以任何理由阻拦或变相阻拦。因以上原因给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造成的质量问题、工期延误、差价等情况（包括但不限于以上情况），同时，包括外协和分包误工费、业主及监理等有关部门对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的罚款等（包括但不限于以上情况）的所有损失均由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中标人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承担。延期超过7天的，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招标人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有权单方面解除合同。</w:t>
      </w:r>
      <w:r>
        <w:rPr>
          <w:rFonts w:hint="eastAsia" w:ascii="仿宋" w:hAnsi="仿宋" w:eastAsia="仿宋" w:cs="仿宋"/>
          <w:sz w:val="28"/>
          <w:szCs w:val="28"/>
          <w:u w:val="single"/>
        </w:rPr>
        <w:t>每批次实际需用量多于或少于预订数量的，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应在本批次混凝土浇筑结束前2小时通知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中标人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。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中标人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在收到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通知后，应及时调整发货数量，以免造成双方损失。如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招标人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实际用量多于预订数量，又未及时通知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中标人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中标人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不承担因此无法保证预拌混凝土运输连续性所导致的一切后果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u w:val="single"/>
        </w:rPr>
        <w:t>每次供货超50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m³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限补方一次，如需第二次补方应支付运输车辆空置燃油费，按1元/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m³</w:t>
      </w:r>
      <w:r>
        <w:rPr>
          <w:rFonts w:hint="eastAsia" w:ascii="仿宋" w:hAnsi="仿宋" w:eastAsia="仿宋" w:cs="仿宋"/>
          <w:sz w:val="28"/>
          <w:szCs w:val="28"/>
          <w:u w:val="single"/>
        </w:rPr>
        <w:t>.km计算；不足50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m³</w:t>
      </w:r>
      <w:r>
        <w:rPr>
          <w:rFonts w:hint="eastAsia" w:ascii="仿宋" w:hAnsi="仿宋" w:eastAsia="仿宋" w:cs="仿宋"/>
          <w:sz w:val="28"/>
          <w:szCs w:val="28"/>
          <w:u w:val="single"/>
        </w:rPr>
        <w:t>供货量的每月累计不得超过2次，超出的次数按500元/次收取出泵费。招标人按送货方单进行验收，并有权随时抽查,如抽查结果在负差3％以内的，属允许负差;如抽查结果在负差3%以上的，则当日所供所有混凝土按抽查最大负差百分比扣除结算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。如当月数量抽查负差3％以上达三次的（含三次），招标人将按当月所供货物总金额的10%进行罚款并按抽查最大负差百分百比扣除结算当月混凝土数量，同时有权解除合同。</w:t>
      </w:r>
      <w:r>
        <w:rPr>
          <w:rFonts w:hint="eastAsia" w:ascii="仿宋" w:hAnsi="仿宋" w:eastAsia="仿宋" w:cs="仿宋"/>
          <w:sz w:val="28"/>
          <w:szCs w:val="28"/>
          <w:u w:val="single"/>
        </w:rPr>
        <w:t>招标人保留对已浇铸完工混凝土构件方量进行复核的权利，如偏差大于5%，双方需进行复核。如确定为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中标人</w:t>
      </w:r>
      <w:r>
        <w:rPr>
          <w:rFonts w:hint="eastAsia" w:ascii="仿宋" w:hAnsi="仿宋" w:eastAsia="仿宋" w:cs="仿宋"/>
          <w:sz w:val="28"/>
          <w:szCs w:val="28"/>
          <w:u w:val="single"/>
        </w:rPr>
        <w:t>责任，则扣除超出部分的方量。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对施工浇筑过程中混凝士的跑模、涨模、尾车中所要混凝土数量不准所造成</w:t>
      </w:r>
      <w:r>
        <w:rPr>
          <w:rFonts w:hint="eastAsia" w:ascii="仿宋" w:hAnsi="仿宋" w:eastAsia="仿宋" w:cs="仿宋"/>
          <w:sz w:val="28"/>
          <w:szCs w:val="28"/>
          <w:u w:val="single"/>
        </w:rPr>
        <w:t>的损失应由招标人承担。招标人在《订货单》中需写明工程名称、浇筑时间、浇筑部位、混凝土强度等级、坍落度要求、数量及其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它特殊技术要求,以便中标人及时备料安排生产和安排运输设备。</w:t>
      </w: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both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九、</w:t>
      </w:r>
      <w:r>
        <w:rPr>
          <w:rFonts w:hint="eastAsia" w:ascii="仿宋" w:hAnsi="仿宋" w:eastAsia="仿宋" w:cs="仿宋_GB2312"/>
          <w:b/>
          <w:sz w:val="36"/>
          <w:szCs w:val="36"/>
        </w:rPr>
        <w:t>评标及中标履约要求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1、评标由审计监察室随机临时确定评委并组建的评标委员会负责。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2、评标原则：评标活动遵循公平、公正、科学和择优的原则。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3、评标：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本次评标以价格为评标依据，采取“合理低价法”评标。即以经评委会审核，剔除偏离市场行情较大的恶意报价后的报价进行排序，其中价格最低的报价单位为预中标单位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4、中标候选人推荐：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评标委员会依据评标结果推荐一名中标候选人。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5、中标通知：招标人以书面形式向中标人发出中标通知书。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6、招标人和中标人应当自中标通知书发出之日起七日内，按照招标文件和中标人的投标文件订立书面合同，招标人和中标人不得再行订立背离本次招标实质性内容的其他协议。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十、</w:t>
      </w:r>
      <w:r>
        <w:rPr>
          <w:rFonts w:hint="eastAsia" w:ascii="仿宋" w:hAnsi="仿宋" w:eastAsia="仿宋" w:cs="仿宋_GB2312"/>
          <w:b/>
          <w:sz w:val="36"/>
          <w:szCs w:val="36"/>
        </w:rPr>
        <w:t>纪律和监督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1、对招标人的纪律要求：招标人不得泄漏招标投标活动中应当保密的情况和资料，不得与投标人串通损害公司利益或者他人合法权益。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2、对投标人的纪律要求：投标人不得相互串通投标或者与招标人串通投标，不得向招标人或者评标委员会成员行贿谋取中标，不得以他人名义投标或者以其他方式弄虚作假骗取中标；投标人不得以任何方式干扰、影响评标工作。投标人有上述行为的，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一经确认将取消其今后参加我公司招标的资格，列入供应商黑名单。</w:t>
      </w: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一</w:t>
      </w:r>
      <w:r>
        <w:rPr>
          <w:rFonts w:hint="eastAsia" w:ascii="仿宋" w:hAnsi="仿宋" w:eastAsia="仿宋" w:cs="仿宋_GB2312"/>
          <w:b/>
          <w:sz w:val="36"/>
          <w:szCs w:val="36"/>
        </w:rPr>
        <w:t>、法定代表人授权书</w:t>
      </w:r>
    </w:p>
    <w:p>
      <w:pPr>
        <w:pStyle w:val="20"/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本授权书声明：我（姓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名）</w:t>
      </w:r>
      <w:r>
        <w:rPr>
          <w:rFonts w:hint="eastAsia" w:ascii="仿宋" w:hAnsi="仿宋" w:eastAsia="仿宋" w:cs="仿宋_GB2312"/>
          <w:sz w:val="28"/>
          <w:szCs w:val="28"/>
        </w:rPr>
        <w:t>系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</w:t>
      </w:r>
      <w:r>
        <w:rPr>
          <w:rFonts w:hint="eastAsia" w:ascii="仿宋" w:hAnsi="仿宋" w:eastAsia="仿宋" w:cs="仿宋_GB2312"/>
          <w:sz w:val="28"/>
          <w:szCs w:val="28"/>
        </w:rPr>
        <w:t>的法定代表人，现授权委托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（单位名称）（被授权委托人姓名 ）</w:t>
      </w:r>
      <w:r>
        <w:rPr>
          <w:rFonts w:hint="eastAsia" w:ascii="仿宋" w:hAnsi="仿宋" w:eastAsia="仿宋" w:cs="仿宋_GB2312"/>
          <w:sz w:val="28"/>
          <w:szCs w:val="28"/>
        </w:rPr>
        <w:t>为本公司合理代表人，就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 xml:space="preserve">投标，以本公司名义处理一切与之有关的事务。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本授权书于______年___月___日签字生效， 特此声明。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代理人情况：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姓名：__________________   职务/职称：____________________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地址：__________________   邮编：_________________________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电话：__________________   传真：_________________________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beforeLines="50" w:afterLines="50" w:line="360" w:lineRule="auto"/>
        <w:ind w:firstLine="4080" w:firstLineChars="1700"/>
        <w:rPr>
          <w:rFonts w:ascii="宋体"/>
          <w:sz w:val="24"/>
        </w:rPr>
      </w:pP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法定代表人签字：_______________ </w:t>
      </w: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单位盖章：_____________________</w:t>
      </w:r>
    </w:p>
    <w:p>
      <w:pPr>
        <w:spacing w:beforeLines="50" w:afterLines="50" w:line="360" w:lineRule="auto"/>
        <w:rPr>
          <w:sz w:val="24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年   月   日</w:t>
      </w: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56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_GB2312"/>
          <w:b/>
          <w:sz w:val="36"/>
          <w:szCs w:val="36"/>
        </w:rPr>
        <w:t>、投标廉洁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承诺书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我单位于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日参与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>投标，</w:t>
      </w:r>
      <w:r>
        <w:rPr>
          <w:rFonts w:hint="eastAsia" w:ascii="仿宋_GB2312" w:hAnsi="仿宋_GB2312" w:eastAsia="仿宋_GB2312" w:cs="仿宋_GB2312"/>
          <w:sz w:val="28"/>
          <w:szCs w:val="28"/>
        </w:rPr>
        <w:t>为加强招投标管理和廉政建设，防止发生各种谋取不正当利益的违法违纪行为、规范双方的各项活动，保护当事人及所属公司的合法权益，供方承诺：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承诺不相互串通投标或者与招标人串通投标；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不向招标人或者评标委员会成员行贿谋取中标；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不以他人名义投标或者以其他方式弄虚作假骗取中标；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承诺不向招标人及有关人员提供任何形式的财、物及请吃消费；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u w:val="single"/>
        </w:rPr>
      </w:pPr>
    </w:p>
    <w:p>
      <w:pPr>
        <w:spacing w:line="56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承诺方签字:</w:t>
      </w:r>
      <w:r>
        <w:rPr>
          <w:rFonts w:hint="eastAsia" w:ascii="仿宋" w:hAnsi="仿宋" w:eastAsia="仿宋" w:cs="仿宋_GB2312"/>
          <w:sz w:val="28"/>
          <w:szCs w:val="28"/>
        </w:rPr>
        <w:t>_________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</w:p>
    <w:p>
      <w:pPr>
        <w:spacing w:line="56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单位盖章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：                    </w:t>
      </w:r>
    </w:p>
    <w:p>
      <w:pPr>
        <w:spacing w:line="560" w:lineRule="exact"/>
        <w:ind w:firstLine="2240" w:firstLineChars="800"/>
        <w:rPr>
          <w:rFonts w:ascii="仿宋_GB2312" w:hAnsi="宋体" w:eastAsia="仿宋_GB2312" w:cs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312" w:right="1469" w:bottom="709" w:left="1338" w:header="851" w:footer="273" w:gutter="284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日期：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三</w:t>
      </w:r>
      <w:r>
        <w:rPr>
          <w:rFonts w:hint="eastAsia" w:ascii="仿宋" w:hAnsi="仿宋" w:eastAsia="仿宋" w:cs="仿宋_GB2312"/>
          <w:b/>
          <w:sz w:val="36"/>
          <w:szCs w:val="36"/>
        </w:rPr>
        <w:t>、报价单</w:t>
      </w:r>
    </w:p>
    <w:p>
      <w:pPr>
        <w:rPr>
          <w:rFonts w:hint="default" w:ascii="仿宋_GB2312" w:eastAsia="仿宋_GB2312"/>
          <w:b/>
          <w:i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报价单 TGJA-WZ-202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3105-2</w:t>
      </w:r>
    </w:p>
    <w:tbl>
      <w:tblPr>
        <w:tblStyle w:val="54"/>
        <w:tblW w:w="152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9"/>
        <w:gridCol w:w="2011"/>
        <w:gridCol w:w="2835"/>
        <w:gridCol w:w="795"/>
        <w:gridCol w:w="1048"/>
        <w:gridCol w:w="179"/>
        <w:gridCol w:w="2809"/>
        <w:gridCol w:w="697"/>
        <w:gridCol w:w="1103"/>
        <w:gridCol w:w="859"/>
        <w:gridCol w:w="2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物料名称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报价（按池州市贵池区</w:t>
            </w:r>
            <w:r>
              <w:rPr>
                <w:rFonts w:hint="eastAsia" w:ascii="仿宋_GB2312" w:eastAsia="仿宋_GB2312"/>
                <w:b/>
                <w:bCs/>
                <w:sz w:val="24"/>
                <w:lang w:eastAsia="zh-CN"/>
              </w:rPr>
              <w:t>含税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信息价下浮百分数）＊</w:t>
            </w:r>
          </w:p>
        </w:tc>
        <w:tc>
          <w:tcPr>
            <w:tcW w:w="265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税率（注明税率及是否为增值税专业发票）＊</w:t>
            </w: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201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预拌混凝土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highlight w:val="none"/>
                <w:lang w:val="en-US" w:eastAsia="zh-CN"/>
              </w:rPr>
              <w:t>C15/C20/C25/C30/C35/C40(泵送)等</w:t>
            </w:r>
          </w:p>
        </w:tc>
        <w:tc>
          <w:tcPr>
            <w:tcW w:w="79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27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6000</w:t>
            </w: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659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抗渗P8、P6、抗折、早强、缓凝、膨胀、细石等另行说明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39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65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49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15231" w:type="dxa"/>
            <w:gridSpan w:val="11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说明：1、此报价表中带 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 xml:space="preserve">＊ </w:t>
            </w:r>
            <w:r>
              <w:rPr>
                <w:rFonts w:hint="eastAsia" w:ascii="仿宋_GB2312" w:eastAsia="仿宋_GB2312"/>
                <w:sz w:val="24"/>
              </w:rPr>
              <w:t>号为必填项，投标人的所有报价文件均为加盖单位公章的打印件（签名部分除外）。</w:t>
            </w:r>
          </w:p>
          <w:p>
            <w:pPr>
              <w:spacing w:line="40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2、税率栏填写时要具体明确税率及是否为增值税专用发票。</w:t>
            </w:r>
          </w:p>
          <w:p>
            <w:pPr>
              <w:spacing w:line="40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3、报价均为含税（税率必须注明）、含运费价，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none"/>
              </w:rPr>
              <w:t>含运费、含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none"/>
                <w:lang w:eastAsia="zh-CN"/>
              </w:rPr>
              <w:t>装卸一票制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none"/>
              </w:rPr>
              <w:t>。</w:t>
            </w:r>
          </w:p>
          <w:p>
            <w:pPr>
              <w:spacing w:line="40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4、本次招标量为本批次供应量，招标数量可能与实际需求量存在偏差。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88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68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458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7088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68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355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4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sectPr>
      <w:headerReference r:id="rId5" w:type="default"/>
      <w:footerReference r:id="rId6" w:type="default"/>
      <w:pgSz w:w="16838" w:h="11906" w:orient="landscape"/>
      <w:pgMar w:top="1338" w:right="312" w:bottom="1469" w:left="709" w:header="851" w:footer="273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